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C6" w:rsidRPr="00BF1EC6" w:rsidRDefault="00BF1EC6" w:rsidP="00BF1EC6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BE1E2D"/>
          <w:kern w:val="36"/>
          <w:sz w:val="25"/>
          <w:szCs w:val="25"/>
          <w:lang w:val="cs-CZ" w:eastAsia="cs-CZ" w:bidi="ar-SA"/>
        </w:rPr>
      </w:pPr>
      <w:r w:rsidRPr="00BF1EC6">
        <w:rPr>
          <w:rFonts w:ascii="Arial" w:eastAsia="Times New Roman" w:hAnsi="Arial" w:cs="Arial"/>
          <w:b/>
          <w:bCs/>
          <w:caps/>
          <w:color w:val="BE1E2D"/>
          <w:kern w:val="36"/>
          <w:sz w:val="25"/>
          <w:szCs w:val="25"/>
          <w:lang w:val="cs-CZ" w:eastAsia="cs-CZ" w:bidi="ar-SA"/>
        </w:rPr>
        <w:t>TEMATICKÁ ZPRÁVA - ROZVOJ ČTENÁŘSKÉ GRAMOTNOSTI NA ZŠ A SŠ VE ŠKOLNÍM ROCE 2017/2018</w:t>
      </w:r>
    </w:p>
    <w:p w:rsidR="003B7DB2" w:rsidRPr="00BF1EC6" w:rsidRDefault="00BF1EC6" w:rsidP="00BF1EC6">
      <w:pPr>
        <w:rPr>
          <w:rStyle w:val="Zdraznnjemn"/>
          <w:lang w:val="cs-CZ"/>
        </w:rPr>
      </w:pPr>
      <w:proofErr w:type="gramStart"/>
      <w:r w:rsidRPr="00BF1EC6">
        <w:rPr>
          <w:rFonts w:ascii="Arial" w:eastAsia="Times New Roman" w:hAnsi="Arial" w:cs="Arial"/>
          <w:color w:val="BE1E2D"/>
          <w:sz w:val="21"/>
          <w:szCs w:val="21"/>
          <w:shd w:val="clear" w:color="auto" w:fill="FFFFFF"/>
          <w:lang w:val="cs-CZ" w:eastAsia="cs-CZ" w:bidi="ar-SA"/>
        </w:rPr>
        <w:t>20.02.2019</w:t>
      </w:r>
      <w:proofErr w:type="gramEnd"/>
    </w:p>
    <w:p w:rsidR="00BF1EC6" w:rsidRPr="00BF1EC6" w:rsidRDefault="00BF1EC6" w:rsidP="00BF1EC6">
      <w:pPr>
        <w:pStyle w:val="Nadpis2"/>
        <w:rPr>
          <w:lang w:val="cs-CZ"/>
        </w:rPr>
      </w:pPr>
      <w:r w:rsidRPr="00BF1EC6">
        <w:rPr>
          <w:lang w:val="cs-CZ"/>
        </w:rPr>
        <w:t xml:space="preserve">6 Závěry a doporučení </w:t>
      </w:r>
      <w:r w:rsidR="005B2AC9">
        <w:rPr>
          <w:lang w:val="cs-CZ"/>
        </w:rPr>
        <w:t>(s. 33 - 36)</w:t>
      </w:r>
      <w:bookmarkStart w:id="0" w:name="_GoBack"/>
      <w:bookmarkEnd w:id="0"/>
    </w:p>
    <w:p w:rsidR="00BF1EC6" w:rsidRPr="00BF1EC6" w:rsidRDefault="00BF1EC6" w:rsidP="00BF1EC6">
      <w:pPr>
        <w:pStyle w:val="Nadpis3"/>
        <w:rPr>
          <w:lang w:val="cs-CZ"/>
        </w:rPr>
      </w:pPr>
      <w:r w:rsidRPr="00BF1EC6">
        <w:rPr>
          <w:lang w:val="cs-CZ"/>
        </w:rPr>
        <w:t xml:space="preserve">6.1 Závěry </w:t>
      </w:r>
      <w:r w:rsidRPr="00BF1EC6">
        <w:rPr>
          <w:lang w:val="cs-CZ"/>
        </w:rPr>
        <w:sym w:font="Symbol" w:char="F0B7"/>
      </w:r>
      <w:r w:rsidRPr="00BF1EC6">
        <w:rPr>
          <w:lang w:val="cs-CZ"/>
        </w:rPr>
        <w:t xml:space="preserve">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Český jazyk a literatura </w:t>
      </w:r>
      <w:proofErr w:type="gramStart"/>
      <w:r w:rsidRPr="00BF1EC6">
        <w:rPr>
          <w:lang w:val="cs-CZ"/>
        </w:rPr>
        <w:t>je</w:t>
      </w:r>
      <w:proofErr w:type="gramEnd"/>
      <w:r w:rsidRPr="00BF1EC6">
        <w:rPr>
          <w:lang w:val="cs-CZ"/>
        </w:rPr>
        <w:t xml:space="preserve"> podle očekávání předmětem, v němž byl zaznamenán nejvyšší výskyt jevů spojených se čtenářskou gramotností. Ačkoli je pozitivní, že čtenářská gramotnost je rozvíjena také v dalších předmětech a vzdělávacích oblastech, když práce s textem nebyla zaznamenána pouze v 5 % navštívených hodin, vyskytovaly se v navštívených hodinách spíše jednodušší činnosti žáka vztahující se k rozvoji čtenářské</w:t>
      </w:r>
      <w:r w:rsidRPr="00BF1EC6">
        <w:rPr>
          <w:lang w:val="cs-CZ"/>
        </w:rPr>
        <w:t xml:space="preserve"> </w:t>
      </w:r>
      <w:r w:rsidRPr="00BF1EC6">
        <w:rPr>
          <w:lang w:val="cs-CZ"/>
        </w:rPr>
        <w:t>gramotnosti. Méně časté byly více náročné činnosti a činnosti založené na vlastní aktivitě žáka, včetně sebereflexe žákových činností, nejvíce pak v matematice, fyzice a odborných předmětech. Významné příležitosti v tomto směru však byly pozorovány i v dalších předmětech a vzdělávacích oblastech. Zařazení náročnějších činností do výuky a pozitivní postoj žáka k výzvám, tj. jeho ochota řešit obtížnější čtenářské úkoly, přitom mají významný a pozitivní vztah k dosažené úrovni čtenářské gramotnosti žáků a ukázaly se být v tomto ohledu významnější než vztah žáků k výuce českého jazyka a jejich aktivita ve výuce a při učení.</w:t>
      </w:r>
    </w:p>
    <w:p w:rsidR="00647D99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>Pro rozvoj čtenářské gramotnosti žáků lze pozitivně hodnotit poměrně vysokou aprobovanost výuky českého jazyka. Zároveň se však objevují některé hrozby spojené s personálními podmínkami rozvoje čtenářské gramotnosti. Ty zahrnují zajištění aprobované výuky na některých typech škol (např. menší základní školy, školy s horšími výsledky žáků) a posun věkové struktury učitelů směrem k vyšším věkovým kategoriím. Nižší riziko těchto hrozeb je dáno také skutečností, že právě zajištění výuky aprobovanými učiteli bylo spojeno s vyšším výskytem čtenářsky orientovaných činností ve výuce. Příležitosti pak lze spatřovat také ve zlepšování nabídky DVPP v oblasti čtenářské gramotnosti a v rozšiřování prostorově-materiálních příležitostí ke čtení žáků (např. kvalita fungování školních knihoven, čtenářské koutky).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Komplexní podoba aspektů rozvoje čtenářské gramotnosti opodstatňuje přínosnost koncepčního přístupu škol v tomto směru. Takový přístup však byl zaznamenán jen na necelé třetině navštívených škol, přibližně polovina škol pak využívala práci učitele (nebo skupiny učitelů) pověřeného koordinací rozvoje čtenářské gramotnosti. Koncepční přístup k rozvoji čtenářské gramotnosti se zohledněním jejího průřezového začlenění do různých předmětů a vzdělávacích oblastí může pomoci ke snížení dopadu jedné z hlavních překážek rozvoje čtenářské gramotnosti – časového prostoru ve výuce.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Žáci 9. ročníku ZŠ i 2. ročníku SŠ dosáhli v testu čtenářské gramotnosti výsledků, které zaostaly za očekáváním. Žáci obou ročníků přitom měli především problémy s řešením otázek vztahujících se k více náročným činnostem žáků – k odvození informace neuvedené v textu, k hodnocení obsahu textu pro stanovení pravdivosti sdělení či </w:t>
      </w:r>
      <w:proofErr w:type="gramStart"/>
      <w:r w:rsidRPr="00BF1EC6">
        <w:rPr>
          <w:lang w:val="cs-CZ"/>
        </w:rPr>
        <w:t>ke</w:t>
      </w:r>
      <w:proofErr w:type="gramEnd"/>
      <w:r w:rsidRPr="00BF1EC6">
        <w:rPr>
          <w:lang w:val="cs-CZ"/>
        </w:rPr>
        <w:t xml:space="preserve"> zobecňování informací v textu do podoby obecně platných tvrzení. Znepokojivý je fakt, že se jedná o dovednosti nepostradatelné pro další studijní dráhu žáků i jejich uplatnění v reálném životě.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lastRenderedPageBreak/>
        <w:t>Hodnocení dosažené úrovně čtenářské gramotnosti identifikovalo některé charakteristiky žáků spjaté s potenciálně vyšší úrovní hrozeb vyplývajících pro žáky z nižší úrovně jejich čtenářské gramotnosti. Jde například o žáky nematuritních oborů a v nižší míře o žáky společenskovědně orientovaných oborů, chlapce dosahující velmi nízkých procentních úspěšností v testu, žáky základních škol nacházejících se v Ústeckém kraji a žáky neveřejných středních škol. Nižší dosažená úroveň čtenářské gramotnosti je dále korelována s horším vztahem žáků k učení se českému jazyku, s nižší snahou a aktivitou žáků při učení se českému jazyku, s nižší ochotou žáků přijmout čtenářské výzvy a se spíše negativním pohledem na čtenářsky orientované interakce se spolužáky. Existuje také početná skupina žáků základních i středních škol deklarujících svůj spíše negativní vztah k výuce českého jazyka.</w:t>
      </w:r>
    </w:p>
    <w:p w:rsidR="00BF1EC6" w:rsidRPr="00BF1EC6" w:rsidRDefault="00BF1EC6" w:rsidP="00BF1EC6">
      <w:pPr>
        <w:pStyle w:val="Nadpis2"/>
        <w:rPr>
          <w:lang w:val="cs-CZ"/>
        </w:rPr>
      </w:pPr>
      <w:r w:rsidRPr="00BF1EC6">
        <w:rPr>
          <w:lang w:val="cs-CZ"/>
        </w:rPr>
        <w:t xml:space="preserve">6.2 Doporučení </w:t>
      </w:r>
    </w:p>
    <w:p w:rsidR="00BF1EC6" w:rsidRPr="00BF1EC6" w:rsidRDefault="00BF1EC6" w:rsidP="005B2AC9">
      <w:pPr>
        <w:pStyle w:val="Nadpis4"/>
        <w:rPr>
          <w:lang w:val="cs-CZ"/>
        </w:rPr>
      </w:pPr>
      <w:r w:rsidRPr="00BF1EC6">
        <w:rPr>
          <w:lang w:val="cs-CZ"/>
        </w:rPr>
        <w:t xml:space="preserve">Doporučení pro školy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Koncepčně přistupovat k rozvoji čtenářské gramotnosti žáků napříč vzdělávacími obory a vzdělávacími oblastmi, a to včetně spolupráce učitelů (např. práce metodického týmu, rozvíjení kompetencí učitelů v oblasti čtenářské gramotnosti).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Podporovat rozvoj čtenářské gramotnosti žáků i v jiných předmětech a vzdělávacích oblastech než český jazyk a literatura, včetně přírodovědných předmětů, včetně rozvoje potřebných kompetencí učitelů.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Posilovat dovednosti žáků pro řešení náročnějších činností vztahujících se ke čtenářské gramotnosti (např. hlubší analýza textu, rozbor struktury textu a autorovy práce s jazykem, porovnání textů, stanovení účelu textu a další) s cílem dosahovat žákova hlubšího porozumění problematice, a to včetně rozvoje dovedností žáka v oblasti sebereflexe a s vazbou na zlepšování postoje žáků ke čtenářským výzvám.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Zlepšovat prostorově-materiální příležitosti žáků ke čtení (např. kvalitní fungování školní knihovny, čtenářské koutky), a to včetně nabídky atraktivních textů a ICT technologií pro zlepšování vztahu žáků ke čtení.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Využívat dostupné informace </w:t>
      </w:r>
      <w:proofErr w:type="spellStart"/>
      <w:r w:rsidRPr="00BF1EC6">
        <w:rPr>
          <w:lang w:val="cs-CZ"/>
        </w:rPr>
        <w:t>sumativního</w:t>
      </w:r>
      <w:proofErr w:type="spellEnd"/>
      <w:r w:rsidRPr="00BF1EC6">
        <w:rPr>
          <w:lang w:val="cs-CZ"/>
        </w:rPr>
        <w:t xml:space="preserve"> i formativního hodnocení v rámci koncepčního přístupu k rozvoji čtenářské gramotnosti žáků.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>Rozšiřovat spolupráci s odborníky, rodiči a dalšími aktéry (</w:t>
      </w:r>
      <w:proofErr w:type="spellStart"/>
      <w:r w:rsidRPr="00BF1EC6">
        <w:rPr>
          <w:lang w:val="cs-CZ"/>
        </w:rPr>
        <w:t>networking</w:t>
      </w:r>
      <w:proofErr w:type="spellEnd"/>
      <w:r w:rsidRPr="00BF1EC6">
        <w:rPr>
          <w:lang w:val="cs-CZ"/>
        </w:rPr>
        <w:t>) při rozvoji čtenářské gramotnosti žáků.</w:t>
      </w:r>
    </w:p>
    <w:p w:rsidR="00BF1EC6" w:rsidRPr="00BF1EC6" w:rsidRDefault="00BF1EC6" w:rsidP="005B2AC9">
      <w:pPr>
        <w:pStyle w:val="Nadpis4"/>
        <w:rPr>
          <w:lang w:val="cs-CZ"/>
        </w:rPr>
      </w:pPr>
      <w:r w:rsidRPr="00BF1EC6">
        <w:rPr>
          <w:lang w:val="cs-CZ"/>
        </w:rPr>
        <w:t xml:space="preserve">Doporučení pro Ministerstvo školství, mládeže a tělovýchovy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Koncepčně řešit rizika vztažená k zajištění personálních podmínek výuky v oblasti čtenářské gramotnosti (např. aprobovanost výuky, věková struktura učitelů), a to včetně škol více ohrožených v této oblasti (např. malé základní školy, školy s horšími socioekonomickými předpoklady).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Systematicky podporovat DVPP zaměřené na rozvoj čtenářské gramotnosti, a to se zdůrazněním prakticky orientovaného vzdělávání promítajícího se do vlastní výuky.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lastRenderedPageBreak/>
        <w:t xml:space="preserve">Věnovat pozornost skupinám žáků více ohrožených nízkou úrovní čtenářské gramotnosti například formou lepší metodické i organizační podpory učitelů vzdělávajících takové žáky.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Podporovat implementaci vzdělávacích materiálů zaměřených na rozvoj čtenářské gramotnosti (např. výstupy systémových projektů) do výuky, a to napříč předměty a vzdělávacími oblastmi.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>Identifikovat příklady škol dobré praxe rozvoje čtenářské gramotnosti se zdůrazněním její podstaty jako inspirace pro další školy a s využitím empiricky podloženého hodnocení.</w:t>
      </w:r>
    </w:p>
    <w:p w:rsidR="00BF1EC6" w:rsidRPr="00BF1EC6" w:rsidRDefault="00BF1EC6" w:rsidP="005B2AC9">
      <w:pPr>
        <w:pStyle w:val="Nadpis4"/>
        <w:rPr>
          <w:lang w:val="cs-CZ"/>
        </w:rPr>
      </w:pPr>
      <w:r w:rsidRPr="00BF1EC6">
        <w:rPr>
          <w:lang w:val="cs-CZ"/>
        </w:rPr>
        <w:t xml:space="preserve">Doporučení pro zřizovatele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 xml:space="preserve">Spolupracovat se školami při utváření koncepčního přístupu k rozvoji čtenářské gramotnosti žáků tak, aby byla zajištěna synergie činností, k nimž disponují pravomocemi školy na jedné straně a jejich zřizovatelé na straně druhé. </w:t>
      </w:r>
    </w:p>
    <w:p w:rsidR="00BF1EC6" w:rsidRPr="00BF1EC6" w:rsidRDefault="00BF1EC6" w:rsidP="005B2AC9">
      <w:pPr>
        <w:jc w:val="both"/>
        <w:rPr>
          <w:lang w:val="cs-CZ"/>
        </w:rPr>
      </w:pPr>
      <w:r w:rsidRPr="00BF1EC6">
        <w:rPr>
          <w:lang w:val="cs-CZ"/>
        </w:rPr>
        <w:t>Ve spolupráci se školami finančně podporovat zlepšování prostorově-materiálních podmínek pro rozvoj čtenářské gramotnosti (školní knihovny a jejich knižní fondy).</w:t>
      </w:r>
    </w:p>
    <w:p w:rsidR="00BF1EC6" w:rsidRPr="00BF1EC6" w:rsidRDefault="00BF1EC6" w:rsidP="005B2AC9">
      <w:pPr>
        <w:jc w:val="both"/>
        <w:rPr>
          <w:rStyle w:val="Zdraznnjemn"/>
          <w:lang w:val="cs-CZ"/>
        </w:rPr>
      </w:pPr>
      <w:r w:rsidRPr="00BF1EC6">
        <w:rPr>
          <w:lang w:val="cs-CZ"/>
        </w:rPr>
        <w:t>Podporovat spolupráci škol v území při rozvoji čtenářské gramotnosti žáků, například jako zastřešující téma konceptu místních akčních plánů rozvoje vzdělávání a se zohledněním faktorů ovlivňujících úroveň čtenářské gramotnosti žáků.</w:t>
      </w:r>
    </w:p>
    <w:sectPr w:rsidR="00BF1EC6" w:rsidRPr="00BF1EC6" w:rsidSect="00477759">
      <w:headerReference w:type="default" r:id="rId7"/>
      <w:footerReference w:type="default" r:id="rId8"/>
      <w:pgSz w:w="11906" w:h="16838"/>
      <w:pgMar w:top="1529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98" w:rsidRDefault="00B13E98" w:rsidP="003B7DB2">
      <w:pPr>
        <w:spacing w:after="0" w:line="240" w:lineRule="auto"/>
      </w:pPr>
      <w:r>
        <w:separator/>
      </w:r>
    </w:p>
  </w:endnote>
  <w:endnote w:type="continuationSeparator" w:id="0">
    <w:p w:rsidR="00B13E98" w:rsidRDefault="00B13E98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082C0D" w:rsidP="0042356C">
    <w:pPr>
      <w:pStyle w:val="Zpat"/>
    </w:pPr>
    <w:r>
      <w:rPr>
        <w:noProof/>
        <w:lang w:val="cs-CZ"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2188210</wp:posOffset>
          </wp:positionH>
          <wp:positionV relativeFrom="paragraph">
            <wp:posOffset>43180</wp:posOffset>
          </wp:positionV>
          <wp:extent cx="3502537" cy="777182"/>
          <wp:effectExtent l="0" t="0" r="3175" b="4445"/>
          <wp:wrapNone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98" w:rsidRDefault="00B13E98" w:rsidP="003B7DB2">
      <w:pPr>
        <w:spacing w:after="0" w:line="240" w:lineRule="auto"/>
      </w:pPr>
      <w:r>
        <w:separator/>
      </w:r>
    </w:p>
  </w:footnote>
  <w:footnote w:type="continuationSeparator" w:id="0">
    <w:p w:rsidR="00B13E98" w:rsidRDefault="00B13E98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477759">
    <w:pPr>
      <w:pStyle w:val="Zhlav"/>
    </w:pPr>
    <w:r w:rsidRPr="003B7DB2"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13970</wp:posOffset>
          </wp:positionH>
          <wp:positionV relativeFrom="paragraph">
            <wp:posOffset>-205105</wp:posOffset>
          </wp:positionV>
          <wp:extent cx="1523473" cy="583200"/>
          <wp:effectExtent l="0" t="0" r="635" b="762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val="cs-CZ" w:eastAsia="cs-CZ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3672205</wp:posOffset>
          </wp:positionH>
          <wp:positionV relativeFrom="paragraph">
            <wp:posOffset>166370</wp:posOffset>
          </wp:positionV>
          <wp:extent cx="1779905" cy="187960"/>
          <wp:effectExtent l="0" t="0" r="0" b="2540"/>
          <wp:wrapNone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3347085</wp:posOffset>
          </wp:positionH>
          <wp:positionV relativeFrom="paragraph">
            <wp:posOffset>-207645</wp:posOffset>
          </wp:positionV>
          <wp:extent cx="2402744" cy="309880"/>
          <wp:effectExtent l="0" t="0" r="0" b="0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638"/>
    <w:multiLevelType w:val="hybridMultilevel"/>
    <w:tmpl w:val="4B521E38"/>
    <w:lvl w:ilvl="0" w:tplc="A2AC0DB6">
      <w:start w:val="1"/>
      <w:numFmt w:val="upperLetter"/>
      <w:lvlText w:val="%1)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CE47A31"/>
    <w:multiLevelType w:val="hybridMultilevel"/>
    <w:tmpl w:val="F172468A"/>
    <w:lvl w:ilvl="0" w:tplc="A08EF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0F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64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CD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4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A2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E2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2C0D"/>
    <w:rsid w:val="000864D1"/>
    <w:rsid w:val="00092BEA"/>
    <w:rsid w:val="000A580A"/>
    <w:rsid w:val="0026351F"/>
    <w:rsid w:val="002714EC"/>
    <w:rsid w:val="00340E3E"/>
    <w:rsid w:val="00393F07"/>
    <w:rsid w:val="003B7DB2"/>
    <w:rsid w:val="0042356C"/>
    <w:rsid w:val="0046534E"/>
    <w:rsid w:val="00477759"/>
    <w:rsid w:val="005B2AC9"/>
    <w:rsid w:val="00647D99"/>
    <w:rsid w:val="00696625"/>
    <w:rsid w:val="00725794"/>
    <w:rsid w:val="007675C9"/>
    <w:rsid w:val="007F2D4C"/>
    <w:rsid w:val="00847F27"/>
    <w:rsid w:val="00895499"/>
    <w:rsid w:val="00961075"/>
    <w:rsid w:val="009839C5"/>
    <w:rsid w:val="00AB1683"/>
    <w:rsid w:val="00B13E98"/>
    <w:rsid w:val="00BF1EC6"/>
    <w:rsid w:val="00C01B34"/>
    <w:rsid w:val="00CC4E01"/>
    <w:rsid w:val="00CF427B"/>
    <w:rsid w:val="00E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0665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C0D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paragraph" w:styleId="Nadpis1">
    <w:name w:val="heading 1"/>
    <w:basedOn w:val="Normln"/>
    <w:link w:val="Nadpis1Char"/>
    <w:uiPriority w:val="9"/>
    <w:qFormat/>
    <w:rsid w:val="00BF1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cs-CZ" w:eastAsia="cs-CZ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E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2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Textkomente">
    <w:name w:val="annotation text"/>
    <w:basedOn w:val="Normln"/>
    <w:link w:val="TextkomenteChar"/>
    <w:uiPriority w:val="99"/>
    <w:unhideWhenUsed/>
    <w:rsid w:val="00082C0D"/>
    <w:pPr>
      <w:spacing w:line="240" w:lineRule="auto"/>
    </w:pPr>
    <w:rPr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0D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39"/>
    <w:rsid w:val="0064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F1EC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e">
    <w:name w:val="date"/>
    <w:basedOn w:val="Standardnpsmoodstavce"/>
    <w:rsid w:val="00BF1EC6"/>
  </w:style>
  <w:style w:type="character" w:customStyle="1" w:styleId="Nadpis2Char">
    <w:name w:val="Nadpis 2 Char"/>
    <w:basedOn w:val="Standardnpsmoodstavce"/>
    <w:link w:val="Nadpis2"/>
    <w:uiPriority w:val="9"/>
    <w:rsid w:val="00BF1E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F1E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5B2AC9"/>
    <w:rPr>
      <w:rFonts w:asciiTheme="majorHAnsi" w:eastAsiaTheme="majorEastAsia" w:hAnsiTheme="majorHAnsi" w:cstheme="majorBidi"/>
      <w:i/>
      <w:iCs/>
      <w:color w:val="2E74B5" w:themeColor="accent1" w:themeShade="B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1018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3</cp:revision>
  <dcterms:created xsi:type="dcterms:W3CDTF">2019-05-28T12:08:00Z</dcterms:created>
  <dcterms:modified xsi:type="dcterms:W3CDTF">2019-05-28T12:21:00Z</dcterms:modified>
</cp:coreProperties>
</file>