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E" w:rsidRPr="00D03C5E" w:rsidRDefault="00D03C5E" w:rsidP="00D03C5E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 w:rsidR="00EC3552">
        <w:rPr>
          <w:rFonts w:asciiTheme="minorHAnsi" w:hAnsiTheme="minorHAnsi"/>
          <w:b/>
          <w:sz w:val="22"/>
        </w:rPr>
        <w:t xml:space="preserve">8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 w:rsidR="00ED1352"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 w:rsidR="00ED1352">
        <w:rPr>
          <w:rFonts w:asciiTheme="minorHAnsi" w:hAnsiTheme="minorHAnsi"/>
          <w:b/>
          <w:sz w:val="22"/>
        </w:rPr>
        <w:t>“</w:t>
      </w:r>
    </w:p>
    <w:p w:rsidR="00D03C5E" w:rsidRDefault="00C13552" w:rsidP="00D03C5E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ROZPOČET PROJEKTU</w:t>
      </w:r>
    </w:p>
    <w:p w:rsidR="00BA72F3" w:rsidRDefault="00BA72F3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797179" w:rsidRDefault="00797179" w:rsidP="00074D9B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r w:rsidRPr="00797179">
              <w:rPr>
                <w:rFonts w:asciiTheme="minorHAnsi" w:hAnsiTheme="minorHAnsi"/>
              </w:rPr>
              <w:t xml:space="preserve">Žáci sestavují projektový rozpočet, učí se odhadovat reálné finanční náklady, oceňovat své možnosti v oblasti </w:t>
            </w:r>
            <w:proofErr w:type="spellStart"/>
            <w:r w:rsidRPr="00797179">
              <w:rPr>
                <w:rFonts w:asciiTheme="minorHAnsi" w:hAnsiTheme="minorHAnsi"/>
              </w:rPr>
              <w:t>fundraisingu</w:t>
            </w:r>
            <w:proofErr w:type="spellEnd"/>
            <w:r w:rsidRPr="00797179">
              <w:rPr>
                <w:rFonts w:asciiTheme="minorHAnsi" w:hAnsiTheme="minorHAnsi"/>
              </w:rPr>
              <w:t xml:space="preserve"> a chovat se finančně zodpovědným způsobem.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CD239E" w:rsidRDefault="00797179" w:rsidP="00BA72F3">
            <w:pPr>
              <w:rPr>
                <w:rFonts w:asciiTheme="minorHAnsi" w:hAnsiTheme="minorHAnsi"/>
              </w:rPr>
            </w:pPr>
            <w:r w:rsidRPr="00CD239E">
              <w:rPr>
                <w:rFonts w:asciiTheme="minorHAnsi" w:hAnsiTheme="minorHAnsi"/>
              </w:rPr>
              <w:t>Rozpočet, náklady a příjmy</w:t>
            </w:r>
            <w:r w:rsidR="00CD239E" w:rsidRPr="00CD239E">
              <w:rPr>
                <w:rFonts w:asciiTheme="minorHAnsi" w:hAnsiTheme="minorHAnsi"/>
              </w:rPr>
              <w:t xml:space="preserve">, výsledek hospodaření, </w:t>
            </w:r>
            <w:proofErr w:type="spellStart"/>
            <w:r w:rsidR="00CD239E" w:rsidRPr="00CD239E">
              <w:rPr>
                <w:rFonts w:asciiTheme="minorHAnsi" w:hAnsiTheme="minorHAnsi"/>
              </w:rPr>
              <w:t>fundraising</w:t>
            </w:r>
            <w:proofErr w:type="spellEnd"/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6C1AF1" w:rsidRDefault="00CD239E" w:rsidP="0090573C">
            <w:pPr>
              <w:rPr>
                <w:rFonts w:asciiTheme="minorHAnsi" w:hAnsiTheme="minorHAnsi"/>
                <w:highlight w:val="yellow"/>
              </w:rPr>
            </w:pPr>
            <w:r w:rsidRPr="00CD239E">
              <w:rPr>
                <w:rFonts w:asciiTheme="minorHAnsi" w:hAnsiTheme="minorHAnsi"/>
              </w:rPr>
              <w:t>C</w:t>
            </w:r>
            <w:r w:rsidR="0090573C" w:rsidRPr="00CD239E">
              <w:rPr>
                <w:rFonts w:asciiTheme="minorHAnsi" w:hAnsiTheme="minorHAnsi"/>
              </w:rPr>
              <w:t xml:space="preserve">vičení 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E2C8E" w:rsidTr="001E2C8E">
        <w:tc>
          <w:tcPr>
            <w:tcW w:w="3369" w:type="dxa"/>
          </w:tcPr>
          <w:p w:rsidR="001E2C8E" w:rsidRDefault="001E2C8E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E2C8E" w:rsidRPr="005A5EBD" w:rsidRDefault="001E2C8E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F61541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81743E" w:rsidRDefault="0081743E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EC3552" w:rsidRDefault="00EC3552" w:rsidP="0079717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Nezbytnou součástí každého projektu je jeho financování. V minulém pracovním listě jste si rozplánovali realizaci maturitního večírku</w:t>
      </w:r>
      <w:r w:rsidR="00D06FD1">
        <w:rPr>
          <w:rFonts w:asciiTheme="minorHAnsi" w:hAnsiTheme="minorHAnsi" w:cs="Segoe UI"/>
          <w:sz w:val="22"/>
          <w:szCs w:val="20"/>
        </w:rPr>
        <w:t xml:space="preserve"> – nyní</w:t>
      </w:r>
      <w:r>
        <w:rPr>
          <w:rFonts w:asciiTheme="minorHAnsi" w:hAnsiTheme="minorHAnsi" w:cs="Segoe UI"/>
          <w:sz w:val="22"/>
          <w:szCs w:val="20"/>
        </w:rPr>
        <w:t xml:space="preserve"> si vyzkoušejte sestavení rozpočtu pro tento projekt. Do </w:t>
      </w:r>
      <w:r w:rsidR="007771C3">
        <w:rPr>
          <w:rFonts w:asciiTheme="minorHAnsi" w:hAnsiTheme="minorHAnsi" w:cs="Segoe UI"/>
          <w:sz w:val="22"/>
          <w:szCs w:val="20"/>
        </w:rPr>
        <w:t>prvního</w:t>
      </w:r>
      <w:r>
        <w:rPr>
          <w:rFonts w:asciiTheme="minorHAnsi" w:hAnsiTheme="minorHAnsi" w:cs="Segoe UI"/>
          <w:sz w:val="22"/>
          <w:szCs w:val="20"/>
        </w:rPr>
        <w:t xml:space="preserve"> sloupce níže připojené tabulky napište všechny položky, </w:t>
      </w:r>
      <w:r w:rsidR="00D06FD1">
        <w:rPr>
          <w:rFonts w:asciiTheme="minorHAnsi" w:hAnsiTheme="minorHAnsi" w:cs="Segoe UI"/>
          <w:sz w:val="22"/>
          <w:szCs w:val="20"/>
        </w:rPr>
        <w:t xml:space="preserve">na něž budete muset při přípravě </w:t>
      </w:r>
      <w:r w:rsidR="003007DF">
        <w:rPr>
          <w:rFonts w:asciiTheme="minorHAnsi" w:hAnsiTheme="minorHAnsi" w:cs="Segoe UI"/>
          <w:sz w:val="22"/>
          <w:szCs w:val="20"/>
        </w:rPr>
        <w:br/>
      </w:r>
      <w:r w:rsidR="00D06FD1">
        <w:rPr>
          <w:rFonts w:asciiTheme="minorHAnsi" w:hAnsiTheme="minorHAnsi" w:cs="Segoe UI"/>
          <w:sz w:val="22"/>
          <w:szCs w:val="20"/>
        </w:rPr>
        <w:t>a realizaci maturitního večírku získat finanční prostředky, a odhadněte jejich finanční náročnost</w:t>
      </w:r>
      <w:r w:rsidR="007771C3">
        <w:rPr>
          <w:rFonts w:asciiTheme="minorHAnsi" w:hAnsiTheme="minorHAnsi" w:cs="Segoe UI"/>
          <w:sz w:val="22"/>
          <w:szCs w:val="20"/>
        </w:rPr>
        <w:t xml:space="preserve"> (druhý sloupec)</w:t>
      </w:r>
      <w:r w:rsidR="00D06FD1">
        <w:rPr>
          <w:rFonts w:asciiTheme="minorHAnsi" w:hAnsiTheme="minorHAnsi" w:cs="Segoe UI"/>
          <w:sz w:val="22"/>
          <w:szCs w:val="20"/>
        </w:rPr>
        <w:t>.</w:t>
      </w:r>
    </w:p>
    <w:p w:rsidR="00EC3552" w:rsidRPr="00EC3552" w:rsidRDefault="00EC3552" w:rsidP="00797179">
      <w:pPr>
        <w:jc w:val="both"/>
        <w:rPr>
          <w:rFonts w:asciiTheme="minorHAnsi" w:hAnsiTheme="minorHAnsi" w:cs="Segoe UI"/>
          <w:sz w:val="22"/>
          <w:szCs w:val="20"/>
        </w:rPr>
      </w:pPr>
    </w:p>
    <w:p w:rsidR="005332FF" w:rsidRDefault="00EC3552" w:rsidP="0079717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Navrhněte, jakým způsobem by bylo možné získat potřeb</w:t>
      </w:r>
      <w:r w:rsidR="00D06FD1">
        <w:rPr>
          <w:rFonts w:asciiTheme="minorHAnsi" w:hAnsiTheme="minorHAnsi" w:cs="Segoe UI"/>
          <w:sz w:val="22"/>
          <w:szCs w:val="20"/>
        </w:rPr>
        <w:t>né finanční prostředky do rozpočtu Vašeho projektu</w:t>
      </w:r>
      <w:r w:rsidR="00797179">
        <w:rPr>
          <w:rFonts w:asciiTheme="minorHAnsi" w:hAnsiTheme="minorHAnsi" w:cs="Segoe UI"/>
          <w:sz w:val="22"/>
          <w:szCs w:val="20"/>
        </w:rPr>
        <w:t xml:space="preserve"> – snažte se vymyslet co největší množství alternativ. </w:t>
      </w:r>
      <w:r w:rsidR="00C658AA">
        <w:rPr>
          <w:rFonts w:asciiTheme="minorHAnsi" w:hAnsiTheme="minorHAnsi" w:cs="Segoe UI"/>
          <w:sz w:val="22"/>
          <w:szCs w:val="20"/>
        </w:rPr>
        <w:t xml:space="preserve">Z nich pak vyberte ty, které mají největší šanci na úspěch, a vepište je do </w:t>
      </w:r>
      <w:r w:rsidR="007771C3">
        <w:rPr>
          <w:rFonts w:asciiTheme="minorHAnsi" w:hAnsiTheme="minorHAnsi" w:cs="Segoe UI"/>
          <w:sz w:val="22"/>
          <w:szCs w:val="20"/>
        </w:rPr>
        <w:t>třetího</w:t>
      </w:r>
      <w:r w:rsidR="00C658AA">
        <w:rPr>
          <w:rFonts w:asciiTheme="minorHAnsi" w:hAnsiTheme="minorHAnsi" w:cs="Segoe UI"/>
          <w:sz w:val="22"/>
          <w:szCs w:val="20"/>
        </w:rPr>
        <w:t xml:space="preserve"> sloupce tabulky. </w:t>
      </w:r>
      <w:r w:rsidR="00797179">
        <w:rPr>
          <w:rFonts w:asciiTheme="minorHAnsi" w:hAnsiTheme="minorHAnsi" w:cs="Segoe UI"/>
          <w:sz w:val="22"/>
          <w:szCs w:val="20"/>
        </w:rPr>
        <w:t xml:space="preserve">Poté se pokuste co nejstřízlivěji odhadnout částku, kterou byste byli schopni touto cestou získat, vydělte ji dvěma a výslednou cifru napište </w:t>
      </w:r>
      <w:r w:rsidR="00C658AA">
        <w:rPr>
          <w:rFonts w:asciiTheme="minorHAnsi" w:hAnsiTheme="minorHAnsi" w:cs="Segoe UI"/>
          <w:sz w:val="22"/>
          <w:szCs w:val="20"/>
        </w:rPr>
        <w:br/>
      </w:r>
      <w:r w:rsidR="00797179">
        <w:rPr>
          <w:rFonts w:asciiTheme="minorHAnsi" w:hAnsiTheme="minorHAnsi" w:cs="Segoe UI"/>
          <w:sz w:val="22"/>
          <w:szCs w:val="20"/>
        </w:rPr>
        <w:t xml:space="preserve">do tabulky do </w:t>
      </w:r>
      <w:r w:rsidR="007771C3">
        <w:rPr>
          <w:rFonts w:asciiTheme="minorHAnsi" w:hAnsiTheme="minorHAnsi" w:cs="Segoe UI"/>
          <w:sz w:val="22"/>
          <w:szCs w:val="20"/>
        </w:rPr>
        <w:t xml:space="preserve">čtvrtého </w:t>
      </w:r>
      <w:r w:rsidR="00797179">
        <w:rPr>
          <w:rFonts w:asciiTheme="minorHAnsi" w:hAnsiTheme="minorHAnsi" w:cs="Segoe UI"/>
          <w:sz w:val="22"/>
          <w:szCs w:val="20"/>
        </w:rPr>
        <w:t>sloupce</w:t>
      </w:r>
      <w:r w:rsidR="00C658AA">
        <w:rPr>
          <w:rFonts w:asciiTheme="minorHAnsi" w:hAnsiTheme="minorHAnsi" w:cs="Segoe UI"/>
          <w:sz w:val="22"/>
          <w:szCs w:val="20"/>
        </w:rPr>
        <w:t xml:space="preserve"> k jednotlivým položkám</w:t>
      </w:r>
      <w:r w:rsidR="00797179">
        <w:rPr>
          <w:rFonts w:asciiTheme="minorHAnsi" w:hAnsiTheme="minorHAnsi" w:cs="Segoe UI"/>
          <w:sz w:val="22"/>
          <w:szCs w:val="20"/>
        </w:rPr>
        <w:t>.</w:t>
      </w:r>
    </w:p>
    <w:p w:rsidR="00797179" w:rsidRPr="00797179" w:rsidRDefault="00797179" w:rsidP="00797179">
      <w:pPr>
        <w:pStyle w:val="Odstavecseseznamem"/>
        <w:rPr>
          <w:rFonts w:asciiTheme="minorHAnsi" w:hAnsiTheme="minorHAnsi" w:cs="Segoe UI"/>
          <w:sz w:val="22"/>
          <w:szCs w:val="20"/>
        </w:rPr>
      </w:pPr>
    </w:p>
    <w:p w:rsidR="00797179" w:rsidRDefault="00797179" w:rsidP="0079717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 xml:space="preserve">Odečtěte </w:t>
      </w:r>
      <w:r w:rsidR="00C658AA">
        <w:rPr>
          <w:rFonts w:asciiTheme="minorHAnsi" w:hAnsiTheme="minorHAnsi" w:cs="Segoe UI"/>
          <w:sz w:val="22"/>
          <w:szCs w:val="20"/>
        </w:rPr>
        <w:t xml:space="preserve">celkové </w:t>
      </w:r>
      <w:r>
        <w:rPr>
          <w:rFonts w:asciiTheme="minorHAnsi" w:hAnsiTheme="minorHAnsi" w:cs="Segoe UI"/>
          <w:sz w:val="22"/>
          <w:szCs w:val="20"/>
        </w:rPr>
        <w:t xml:space="preserve">rozpočtové výdaje od </w:t>
      </w:r>
      <w:r w:rsidR="00C658AA">
        <w:rPr>
          <w:rFonts w:asciiTheme="minorHAnsi" w:hAnsiTheme="minorHAnsi" w:cs="Segoe UI"/>
          <w:sz w:val="22"/>
          <w:szCs w:val="20"/>
        </w:rPr>
        <w:t xml:space="preserve">celkových </w:t>
      </w:r>
      <w:r>
        <w:rPr>
          <w:rFonts w:asciiTheme="minorHAnsi" w:hAnsiTheme="minorHAnsi" w:cs="Segoe UI"/>
          <w:sz w:val="22"/>
          <w:szCs w:val="20"/>
        </w:rPr>
        <w:t xml:space="preserve">předpokládaných příjmů </w:t>
      </w:r>
      <w:r w:rsidR="00C658AA">
        <w:rPr>
          <w:rFonts w:asciiTheme="minorHAnsi" w:hAnsiTheme="minorHAnsi" w:cs="Segoe UI"/>
          <w:sz w:val="22"/>
          <w:szCs w:val="20"/>
        </w:rPr>
        <w:t xml:space="preserve">a výsledek poznačte </w:t>
      </w:r>
      <w:r w:rsidR="00C658AA">
        <w:rPr>
          <w:rFonts w:asciiTheme="minorHAnsi" w:hAnsiTheme="minorHAnsi" w:cs="Segoe UI"/>
          <w:sz w:val="22"/>
          <w:szCs w:val="20"/>
        </w:rPr>
        <w:br/>
        <w:t xml:space="preserve">do tabulky jako </w:t>
      </w:r>
      <w:r w:rsidR="007771C3">
        <w:rPr>
          <w:rFonts w:asciiTheme="minorHAnsi" w:hAnsiTheme="minorHAnsi" w:cs="Segoe UI"/>
          <w:sz w:val="22"/>
          <w:szCs w:val="20"/>
        </w:rPr>
        <w:t>rozpočtovou bilanci</w:t>
      </w:r>
      <w:r>
        <w:rPr>
          <w:rFonts w:asciiTheme="minorHAnsi" w:hAnsiTheme="minorHAnsi" w:cs="Segoe UI"/>
          <w:sz w:val="22"/>
          <w:szCs w:val="20"/>
        </w:rPr>
        <w:t xml:space="preserve">. Pokud </w:t>
      </w:r>
      <w:r w:rsidR="00C658AA">
        <w:rPr>
          <w:rFonts w:asciiTheme="minorHAnsi" w:hAnsiTheme="minorHAnsi" w:cs="Segoe UI"/>
          <w:sz w:val="22"/>
          <w:szCs w:val="20"/>
        </w:rPr>
        <w:t xml:space="preserve">bude </w:t>
      </w:r>
      <w:r>
        <w:rPr>
          <w:rFonts w:asciiTheme="minorHAnsi" w:hAnsiTheme="minorHAnsi" w:cs="Segoe UI"/>
          <w:sz w:val="22"/>
          <w:szCs w:val="20"/>
        </w:rPr>
        <w:t>výsledná cifra záporná, jak budete postupovat dál?</w:t>
      </w:r>
    </w:p>
    <w:p w:rsidR="00797179" w:rsidRPr="00797179" w:rsidRDefault="00797179" w:rsidP="00797179">
      <w:pPr>
        <w:pStyle w:val="Odstavecseseznamem"/>
        <w:rPr>
          <w:rFonts w:asciiTheme="minorHAnsi" w:hAnsiTheme="minorHAnsi" w:cs="Segoe UI"/>
          <w:sz w:val="22"/>
          <w:szCs w:val="20"/>
        </w:rPr>
      </w:pPr>
    </w:p>
    <w:p w:rsidR="00C658AA" w:rsidRPr="0081743E" w:rsidRDefault="00797179" w:rsidP="0081743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Pomocí internetu vysvětlete slovo „</w:t>
      </w:r>
      <w:proofErr w:type="spellStart"/>
      <w:r>
        <w:rPr>
          <w:rFonts w:asciiTheme="minorHAnsi" w:hAnsiTheme="minorHAnsi" w:cs="Segoe UI"/>
          <w:sz w:val="22"/>
          <w:szCs w:val="20"/>
        </w:rPr>
        <w:t>fundraising</w:t>
      </w:r>
      <w:proofErr w:type="spellEnd"/>
      <w:r>
        <w:rPr>
          <w:rFonts w:asciiTheme="minorHAnsi" w:hAnsiTheme="minorHAnsi" w:cs="Segoe UI"/>
          <w:sz w:val="22"/>
          <w:szCs w:val="20"/>
        </w:rPr>
        <w:t>“.</w:t>
      </w:r>
    </w:p>
    <w:p w:rsidR="00797179" w:rsidRPr="00797179" w:rsidRDefault="00797179" w:rsidP="00797179">
      <w:pPr>
        <w:pStyle w:val="Odstavecseseznamem"/>
        <w:rPr>
          <w:rFonts w:asciiTheme="minorHAnsi" w:hAnsiTheme="minorHAnsi" w:cs="Segoe UI"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6"/>
        <w:gridCol w:w="1233"/>
        <w:gridCol w:w="3586"/>
        <w:gridCol w:w="1233"/>
      </w:tblGrid>
      <w:tr w:rsidR="00C658AA" w:rsidRPr="007771C3" w:rsidTr="00C658AA">
        <w:tc>
          <w:tcPr>
            <w:tcW w:w="3586" w:type="dxa"/>
            <w:shd w:val="clear" w:color="auto" w:fill="C6D9F1" w:themeFill="text2" w:themeFillTint="33"/>
          </w:tcPr>
          <w:p w:rsidR="00C658AA" w:rsidRPr="007771C3" w:rsidRDefault="00C658AA" w:rsidP="00797179">
            <w:pPr>
              <w:jc w:val="both"/>
              <w:rPr>
                <w:rFonts w:asciiTheme="minorHAnsi" w:hAnsiTheme="minorHAnsi" w:cs="Segoe UI"/>
                <w:b/>
                <w:szCs w:val="20"/>
              </w:rPr>
            </w:pPr>
            <w:r w:rsidRPr="007771C3">
              <w:rPr>
                <w:rFonts w:asciiTheme="minorHAnsi" w:hAnsiTheme="minorHAnsi" w:cs="Segoe UI"/>
                <w:b/>
                <w:szCs w:val="20"/>
              </w:rPr>
              <w:t>Výdaje</w:t>
            </w:r>
          </w:p>
        </w:tc>
        <w:tc>
          <w:tcPr>
            <w:tcW w:w="1233" w:type="dxa"/>
            <w:shd w:val="clear" w:color="auto" w:fill="C6D9F1" w:themeFill="text2" w:themeFillTint="33"/>
          </w:tcPr>
          <w:p w:rsidR="00C658AA" w:rsidRPr="007771C3" w:rsidRDefault="00C658AA" w:rsidP="00C658AA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  <w:r w:rsidRPr="007771C3">
              <w:rPr>
                <w:rFonts w:asciiTheme="minorHAnsi" w:hAnsiTheme="minorHAnsi" w:cs="Segoe UI"/>
                <w:b/>
                <w:szCs w:val="20"/>
              </w:rPr>
              <w:t>Kč</w:t>
            </w:r>
          </w:p>
        </w:tc>
        <w:tc>
          <w:tcPr>
            <w:tcW w:w="3586" w:type="dxa"/>
            <w:shd w:val="clear" w:color="auto" w:fill="C6D9F1" w:themeFill="text2" w:themeFillTint="33"/>
          </w:tcPr>
          <w:p w:rsidR="00C658AA" w:rsidRPr="007771C3" w:rsidRDefault="00C658AA" w:rsidP="00797179">
            <w:pPr>
              <w:jc w:val="both"/>
              <w:rPr>
                <w:rFonts w:asciiTheme="minorHAnsi" w:hAnsiTheme="minorHAnsi" w:cs="Segoe UI"/>
                <w:b/>
                <w:szCs w:val="20"/>
              </w:rPr>
            </w:pPr>
            <w:r w:rsidRPr="007771C3">
              <w:rPr>
                <w:rFonts w:asciiTheme="minorHAnsi" w:hAnsiTheme="minorHAnsi" w:cs="Segoe UI"/>
                <w:b/>
                <w:szCs w:val="20"/>
              </w:rPr>
              <w:t>Příjmy</w:t>
            </w:r>
          </w:p>
        </w:tc>
        <w:tc>
          <w:tcPr>
            <w:tcW w:w="1233" w:type="dxa"/>
            <w:shd w:val="clear" w:color="auto" w:fill="C6D9F1" w:themeFill="text2" w:themeFillTint="33"/>
          </w:tcPr>
          <w:p w:rsidR="00C658AA" w:rsidRPr="007771C3" w:rsidRDefault="00C658AA" w:rsidP="00C658AA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  <w:r w:rsidRPr="007771C3">
              <w:rPr>
                <w:rFonts w:asciiTheme="minorHAnsi" w:hAnsiTheme="minorHAnsi" w:cs="Segoe UI"/>
                <w:b/>
                <w:szCs w:val="20"/>
              </w:rPr>
              <w:t>Kč</w:t>
            </w: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Tr="00C658AA"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3586" w:type="dxa"/>
          </w:tcPr>
          <w:p w:rsidR="00C658AA" w:rsidRPr="00CD239E" w:rsidRDefault="00C658AA" w:rsidP="00CD239E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1233" w:type="dxa"/>
          </w:tcPr>
          <w:p w:rsidR="00C658AA" w:rsidRPr="00C658AA" w:rsidRDefault="00C658AA" w:rsidP="00C658AA">
            <w:pPr>
              <w:jc w:val="right"/>
              <w:rPr>
                <w:rFonts w:asciiTheme="minorHAnsi" w:hAnsiTheme="minorHAnsi" w:cs="Segoe UI"/>
                <w:szCs w:val="20"/>
              </w:rPr>
            </w:pPr>
          </w:p>
        </w:tc>
      </w:tr>
      <w:tr w:rsidR="00C658AA" w:rsidRPr="007771C3" w:rsidTr="007771C3">
        <w:tc>
          <w:tcPr>
            <w:tcW w:w="3586" w:type="dxa"/>
            <w:shd w:val="clear" w:color="auto" w:fill="F2DBDB" w:themeFill="accent2" w:themeFillTint="33"/>
          </w:tcPr>
          <w:p w:rsidR="00C658AA" w:rsidRPr="007771C3" w:rsidRDefault="00C658AA" w:rsidP="007771C3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  <w:r w:rsidRPr="007771C3">
              <w:rPr>
                <w:rFonts w:asciiTheme="minorHAnsi" w:hAnsiTheme="minorHAnsi" w:cs="Segoe UI"/>
                <w:b/>
                <w:szCs w:val="20"/>
              </w:rPr>
              <w:t>Celkové výdaje:</w:t>
            </w:r>
          </w:p>
        </w:tc>
        <w:tc>
          <w:tcPr>
            <w:tcW w:w="1233" w:type="dxa"/>
            <w:shd w:val="clear" w:color="auto" w:fill="F2DBDB" w:themeFill="accent2" w:themeFillTint="33"/>
          </w:tcPr>
          <w:p w:rsidR="00C658AA" w:rsidRPr="007771C3" w:rsidRDefault="00C658AA" w:rsidP="007771C3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</w:p>
        </w:tc>
        <w:tc>
          <w:tcPr>
            <w:tcW w:w="3586" w:type="dxa"/>
            <w:shd w:val="clear" w:color="auto" w:fill="F2DBDB" w:themeFill="accent2" w:themeFillTint="33"/>
          </w:tcPr>
          <w:p w:rsidR="00C658AA" w:rsidRPr="007771C3" w:rsidRDefault="00C658AA" w:rsidP="007771C3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  <w:r w:rsidRPr="007771C3">
              <w:rPr>
                <w:rFonts w:asciiTheme="minorHAnsi" w:hAnsiTheme="minorHAnsi" w:cs="Segoe UI"/>
                <w:b/>
                <w:szCs w:val="20"/>
              </w:rPr>
              <w:t>Celkové příjmy:</w:t>
            </w:r>
          </w:p>
        </w:tc>
        <w:tc>
          <w:tcPr>
            <w:tcW w:w="1233" w:type="dxa"/>
            <w:shd w:val="clear" w:color="auto" w:fill="F2DBDB" w:themeFill="accent2" w:themeFillTint="33"/>
          </w:tcPr>
          <w:p w:rsidR="00C658AA" w:rsidRPr="007771C3" w:rsidRDefault="00C658AA" w:rsidP="007771C3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</w:p>
        </w:tc>
      </w:tr>
      <w:tr w:rsidR="00C658AA" w:rsidRPr="007771C3" w:rsidTr="00B566A3">
        <w:tc>
          <w:tcPr>
            <w:tcW w:w="8405" w:type="dxa"/>
            <w:gridSpan w:val="3"/>
            <w:shd w:val="clear" w:color="auto" w:fill="F2DBDB" w:themeFill="accent2" w:themeFillTint="33"/>
          </w:tcPr>
          <w:p w:rsidR="00C658AA" w:rsidRPr="007771C3" w:rsidRDefault="007771C3" w:rsidP="007771C3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  <w:r>
              <w:rPr>
                <w:rFonts w:asciiTheme="minorHAnsi" w:hAnsiTheme="minorHAnsi" w:cs="Segoe UI"/>
                <w:b/>
                <w:szCs w:val="20"/>
              </w:rPr>
              <w:t>Rozpočtová bilance</w:t>
            </w:r>
            <w:r w:rsidR="00C658AA" w:rsidRPr="007771C3">
              <w:rPr>
                <w:rFonts w:asciiTheme="minorHAnsi" w:hAnsiTheme="minorHAnsi" w:cs="Segoe UI"/>
                <w:b/>
                <w:szCs w:val="20"/>
              </w:rPr>
              <w:t>:</w:t>
            </w:r>
          </w:p>
        </w:tc>
        <w:tc>
          <w:tcPr>
            <w:tcW w:w="1233" w:type="dxa"/>
            <w:shd w:val="clear" w:color="auto" w:fill="F2DBDB" w:themeFill="accent2" w:themeFillTint="33"/>
          </w:tcPr>
          <w:p w:rsidR="00C658AA" w:rsidRPr="007771C3" w:rsidRDefault="00C658AA" w:rsidP="00C658AA">
            <w:pPr>
              <w:jc w:val="right"/>
              <w:rPr>
                <w:rFonts w:asciiTheme="minorHAnsi" w:hAnsiTheme="minorHAnsi" w:cs="Segoe UI"/>
                <w:b/>
                <w:szCs w:val="20"/>
              </w:rPr>
            </w:pPr>
          </w:p>
        </w:tc>
      </w:tr>
    </w:tbl>
    <w:p w:rsidR="00797179" w:rsidRPr="00797179" w:rsidRDefault="00797179" w:rsidP="00797179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6C1AF1" w:rsidRDefault="006C1AF1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81743E" w:rsidRDefault="0081743E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241B7" w:rsidRDefault="00E141C5" w:rsidP="001B701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1B7013">
        <w:rPr>
          <w:rFonts w:asciiTheme="minorHAnsi" w:hAnsiTheme="minorHAnsi" w:cs="Segoe UI"/>
          <w:sz w:val="22"/>
          <w:szCs w:val="20"/>
        </w:rPr>
        <w:t>Před zařazením tohoto pracovního listu do výuky si prostudujte</w:t>
      </w:r>
      <w:r w:rsidR="001B7013" w:rsidRPr="001B7013">
        <w:rPr>
          <w:rFonts w:asciiTheme="minorHAnsi" w:hAnsiTheme="minorHAnsi" w:cs="Segoe UI"/>
          <w:sz w:val="22"/>
          <w:szCs w:val="20"/>
        </w:rPr>
        <w:t xml:space="preserve"> </w:t>
      </w:r>
      <w:r w:rsidR="00E241B7" w:rsidRPr="001B7013">
        <w:rPr>
          <w:rFonts w:asciiTheme="minorHAnsi" w:hAnsiTheme="minorHAnsi" w:cs="Segoe UI"/>
          <w:sz w:val="22"/>
          <w:szCs w:val="20"/>
        </w:rPr>
        <w:t xml:space="preserve">pracovní list č. </w:t>
      </w:r>
      <w:r w:rsidR="00EC3552">
        <w:rPr>
          <w:rFonts w:asciiTheme="minorHAnsi" w:hAnsiTheme="minorHAnsi" w:cs="Segoe UI"/>
          <w:sz w:val="22"/>
          <w:szCs w:val="20"/>
        </w:rPr>
        <w:t>7</w:t>
      </w:r>
      <w:r w:rsidR="00E241B7" w:rsidRPr="001B7013">
        <w:rPr>
          <w:rFonts w:asciiTheme="minorHAnsi" w:hAnsiTheme="minorHAnsi" w:cs="Segoe UI"/>
          <w:sz w:val="22"/>
          <w:szCs w:val="20"/>
        </w:rPr>
        <w:t xml:space="preserve"> ze série „Studentská obchodní snídaně“.</w:t>
      </w:r>
    </w:p>
    <w:p w:rsidR="00D06FD1" w:rsidRDefault="00D06FD1" w:rsidP="001B701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Při plnění úkolu č. 1 je třeba poskytovat žákům zpětnou vazbu, zda jsou jednotlivé výdajové položky co do finanční náročnosti objektivně odhadnuty.</w:t>
      </w:r>
    </w:p>
    <w:p w:rsidR="00D06FD1" w:rsidRDefault="00D06FD1" w:rsidP="001B701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Tabulku rozpočtu projektu mohou žáci v rámci mezipředmětových vztahů</w:t>
      </w:r>
      <w:r w:rsidR="007771C3">
        <w:rPr>
          <w:rFonts w:asciiTheme="minorHAnsi" w:hAnsiTheme="minorHAnsi" w:cs="Segoe UI"/>
          <w:sz w:val="22"/>
          <w:szCs w:val="20"/>
        </w:rPr>
        <w:t xml:space="preserve"> např.</w:t>
      </w:r>
      <w:r>
        <w:rPr>
          <w:rFonts w:asciiTheme="minorHAnsi" w:hAnsiTheme="minorHAnsi" w:cs="Segoe UI"/>
          <w:sz w:val="22"/>
          <w:szCs w:val="20"/>
        </w:rPr>
        <w:t xml:space="preserve"> ve výuce Informačních technologií převést do programu MS Excel a vytvořit v něm interaktivní tabulku.</w:t>
      </w:r>
    </w:p>
    <w:p w:rsidR="00CD239E" w:rsidRPr="001B7013" w:rsidRDefault="00CD239E" w:rsidP="001B701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Při plnění úkolu č. 3 veďte žáky k postoji zodpovědného finančního plánování. Prodiskutujte, jak adekvátně reagovat na záporný výsledek hospodaření v projektovém rozpočtu. V případě kladného výsledku je upozorněte na</w:t>
      </w:r>
      <w:bookmarkStart w:id="0" w:name="_GoBack"/>
      <w:bookmarkEnd w:id="0"/>
      <w:r>
        <w:rPr>
          <w:rFonts w:asciiTheme="minorHAnsi" w:hAnsiTheme="minorHAnsi" w:cs="Segoe UI"/>
          <w:sz w:val="22"/>
          <w:szCs w:val="20"/>
        </w:rPr>
        <w:t xml:space="preserve"> nutnost sledování a předcházení možných finančních rizik. </w:t>
      </w:r>
    </w:p>
    <w:sectPr w:rsidR="00CD239E" w:rsidRPr="001B7013" w:rsidSect="001D3DAB">
      <w:headerReference w:type="default" r:id="rId8"/>
      <w:footerReference w:type="default" r:id="rId9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AE" w:rsidRDefault="00C076AE" w:rsidP="0042215D">
      <w:r>
        <w:separator/>
      </w:r>
    </w:p>
  </w:endnote>
  <w:endnote w:type="continuationSeparator" w:id="0">
    <w:p w:rsidR="00C076AE" w:rsidRDefault="00C076AE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D3DAB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D3DAB" w:rsidRPr="000022F1" w:rsidRDefault="001D3DAB" w:rsidP="00844706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89078B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89078B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81743E">
            <w:rPr>
              <w:rFonts w:ascii="Calibri" w:hAnsi="Calibri"/>
              <w:b/>
              <w:noProof/>
              <w:sz w:val="22"/>
              <w:szCs w:val="22"/>
            </w:rPr>
            <w:t>3</w:t>
          </w:r>
          <w:r w:rsidR="0089078B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89078B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89078B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81743E">
            <w:rPr>
              <w:rFonts w:ascii="Calibri" w:hAnsi="Calibri"/>
              <w:b/>
              <w:noProof/>
              <w:sz w:val="22"/>
              <w:szCs w:val="22"/>
            </w:rPr>
            <w:t>3</w:t>
          </w:r>
          <w:r w:rsidR="0089078B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AE" w:rsidRDefault="00C076AE" w:rsidP="0042215D">
      <w:r>
        <w:separator/>
      </w:r>
    </w:p>
  </w:footnote>
  <w:footnote w:type="continuationSeparator" w:id="0">
    <w:p w:rsidR="00C076AE" w:rsidRDefault="00C076AE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7169B"/>
    <w:multiLevelType w:val="hybridMultilevel"/>
    <w:tmpl w:val="FCE0DB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C51357"/>
    <w:multiLevelType w:val="hybridMultilevel"/>
    <w:tmpl w:val="196491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8C38DE"/>
    <w:multiLevelType w:val="hybridMultilevel"/>
    <w:tmpl w:val="9514C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62E78"/>
    <w:rsid w:val="00074D9B"/>
    <w:rsid w:val="000E1B34"/>
    <w:rsid w:val="00104598"/>
    <w:rsid w:val="00132999"/>
    <w:rsid w:val="001957D7"/>
    <w:rsid w:val="001A0857"/>
    <w:rsid w:val="001B7013"/>
    <w:rsid w:val="001D1105"/>
    <w:rsid w:val="001D3DAB"/>
    <w:rsid w:val="001E2C8E"/>
    <w:rsid w:val="00207ED7"/>
    <w:rsid w:val="00247E48"/>
    <w:rsid w:val="003007DF"/>
    <w:rsid w:val="00331A95"/>
    <w:rsid w:val="00354E37"/>
    <w:rsid w:val="00417F45"/>
    <w:rsid w:val="0042215D"/>
    <w:rsid w:val="00463ADC"/>
    <w:rsid w:val="004A3425"/>
    <w:rsid w:val="004D4727"/>
    <w:rsid w:val="00503EC9"/>
    <w:rsid w:val="005332FF"/>
    <w:rsid w:val="005A5EBD"/>
    <w:rsid w:val="005B50FA"/>
    <w:rsid w:val="005B5319"/>
    <w:rsid w:val="005B66FC"/>
    <w:rsid w:val="00634970"/>
    <w:rsid w:val="006A2729"/>
    <w:rsid w:val="006A6F38"/>
    <w:rsid w:val="006C1AF1"/>
    <w:rsid w:val="00703FAF"/>
    <w:rsid w:val="0077149E"/>
    <w:rsid w:val="007771C3"/>
    <w:rsid w:val="00782A4F"/>
    <w:rsid w:val="00797179"/>
    <w:rsid w:val="0081743E"/>
    <w:rsid w:val="00833E6F"/>
    <w:rsid w:val="0083447F"/>
    <w:rsid w:val="00852731"/>
    <w:rsid w:val="0089078B"/>
    <w:rsid w:val="00891C27"/>
    <w:rsid w:val="008E7259"/>
    <w:rsid w:val="008F5986"/>
    <w:rsid w:val="0090188D"/>
    <w:rsid w:val="0090573C"/>
    <w:rsid w:val="00942790"/>
    <w:rsid w:val="00980332"/>
    <w:rsid w:val="00B15734"/>
    <w:rsid w:val="00B56F31"/>
    <w:rsid w:val="00BA72F3"/>
    <w:rsid w:val="00C076AE"/>
    <w:rsid w:val="00C13552"/>
    <w:rsid w:val="00C3032F"/>
    <w:rsid w:val="00C658AA"/>
    <w:rsid w:val="00C82395"/>
    <w:rsid w:val="00C82FEE"/>
    <w:rsid w:val="00CC4A07"/>
    <w:rsid w:val="00CD239E"/>
    <w:rsid w:val="00D03C5E"/>
    <w:rsid w:val="00D06FD1"/>
    <w:rsid w:val="00D1223B"/>
    <w:rsid w:val="00D12932"/>
    <w:rsid w:val="00D31C9C"/>
    <w:rsid w:val="00D77FA0"/>
    <w:rsid w:val="00DC7D8E"/>
    <w:rsid w:val="00DF4720"/>
    <w:rsid w:val="00E141C5"/>
    <w:rsid w:val="00E241B7"/>
    <w:rsid w:val="00E37973"/>
    <w:rsid w:val="00E64665"/>
    <w:rsid w:val="00EC3552"/>
    <w:rsid w:val="00ED1352"/>
    <w:rsid w:val="00ED76FD"/>
    <w:rsid w:val="00F61541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6</cp:revision>
  <dcterms:created xsi:type="dcterms:W3CDTF">2013-05-17T21:31:00Z</dcterms:created>
  <dcterms:modified xsi:type="dcterms:W3CDTF">2013-05-29T12:12:00Z</dcterms:modified>
</cp:coreProperties>
</file>