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B1" w:rsidRPr="00D03C5E" w:rsidRDefault="005B3EB1" w:rsidP="005B3EB1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>
        <w:rPr>
          <w:rFonts w:asciiTheme="minorHAnsi" w:hAnsiTheme="minorHAnsi"/>
          <w:b/>
          <w:sz w:val="22"/>
        </w:rPr>
        <w:t xml:space="preserve">2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>
        <w:rPr>
          <w:rFonts w:asciiTheme="minorHAnsi" w:hAnsiTheme="minorHAnsi"/>
          <w:b/>
          <w:sz w:val="22"/>
        </w:rPr>
        <w:t>“</w:t>
      </w:r>
    </w:p>
    <w:p w:rsidR="00BA72F3" w:rsidRDefault="005B3EB1" w:rsidP="00BA72F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OBCHODNÍ SNÍDANĚ</w:t>
      </w:r>
    </w:p>
    <w:p w:rsidR="005B3EB1" w:rsidRDefault="005B3EB1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6C1AF1" w:rsidRDefault="001F1555" w:rsidP="001F1555">
            <w:pPr>
              <w:pStyle w:val="Odstavecseseznamem"/>
              <w:ind w:left="0"/>
              <w:jc w:val="both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="Segoe UI"/>
              </w:rPr>
              <w:t xml:space="preserve">Obchodní snídaně jsou pravidelná setkání podnikatelů, volně sdružených v jednotlivých klubech franšízy Business </w:t>
            </w:r>
            <w:proofErr w:type="spellStart"/>
            <w:r>
              <w:rPr>
                <w:rFonts w:asciiTheme="minorHAnsi" w:hAnsiTheme="minorHAnsi" w:cs="Segoe UI"/>
              </w:rPr>
              <w:t>for</w:t>
            </w:r>
            <w:proofErr w:type="spellEnd"/>
            <w:r>
              <w:rPr>
                <w:rFonts w:asciiTheme="minorHAnsi" w:hAnsiTheme="minorHAnsi" w:cs="Segoe UI"/>
              </w:rPr>
              <w:t xml:space="preserve"> </w:t>
            </w:r>
            <w:proofErr w:type="spellStart"/>
            <w:r>
              <w:rPr>
                <w:rFonts w:asciiTheme="minorHAnsi" w:hAnsiTheme="minorHAnsi" w:cs="Segoe UI"/>
              </w:rPr>
              <w:t>Breakfast</w:t>
            </w:r>
            <w:proofErr w:type="spellEnd"/>
            <w:r>
              <w:rPr>
                <w:rFonts w:asciiTheme="minorHAnsi" w:hAnsiTheme="minorHAnsi" w:cs="Segoe UI"/>
              </w:rPr>
              <w:t xml:space="preserve"> ČR, s. r. o. Jejich účelem je pomáhat firmám naplňovat stanovené marketingové cíle, a to prostřednictvím strukturovaného a jasnými pravidly vymezeného průběhu obchodní snídaně.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5B3EB1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AA5789" w:rsidRDefault="000B32ED" w:rsidP="003B7A03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AA5789">
              <w:rPr>
                <w:rFonts w:asciiTheme="minorHAnsi" w:hAnsiTheme="minorHAnsi"/>
              </w:rPr>
              <w:t>Elevator</w:t>
            </w:r>
            <w:proofErr w:type="spellEnd"/>
            <w:r w:rsidRPr="00AA5789">
              <w:rPr>
                <w:rFonts w:asciiTheme="minorHAnsi" w:hAnsiTheme="minorHAnsi"/>
              </w:rPr>
              <w:t xml:space="preserve"> </w:t>
            </w:r>
            <w:proofErr w:type="spellStart"/>
            <w:r w:rsidRPr="00AA5789">
              <w:rPr>
                <w:rFonts w:asciiTheme="minorHAnsi" w:hAnsiTheme="minorHAnsi"/>
              </w:rPr>
              <w:t>speech</w:t>
            </w:r>
            <w:proofErr w:type="spellEnd"/>
            <w:r w:rsidRPr="00AA5789">
              <w:rPr>
                <w:rFonts w:asciiTheme="minorHAnsi" w:hAnsiTheme="minorHAnsi"/>
              </w:rPr>
              <w:t xml:space="preserve">, propagace, design, reklama, </w:t>
            </w:r>
            <w:proofErr w:type="spellStart"/>
            <w:r w:rsidRPr="00AA5789">
              <w:rPr>
                <w:rFonts w:asciiTheme="minorHAnsi" w:hAnsiTheme="minorHAnsi"/>
              </w:rPr>
              <w:t>pubic</w:t>
            </w:r>
            <w:proofErr w:type="spellEnd"/>
            <w:r w:rsidRPr="00AA5789">
              <w:rPr>
                <w:rFonts w:asciiTheme="minorHAnsi" w:hAnsiTheme="minorHAnsi"/>
              </w:rPr>
              <w:t xml:space="preserve"> relations, marketing, marketingová komunikace, direct marketing, </w:t>
            </w:r>
            <w:proofErr w:type="spellStart"/>
            <w:r w:rsidRPr="00AA5789">
              <w:rPr>
                <w:rFonts w:asciiTheme="minorHAnsi" w:hAnsiTheme="minorHAnsi"/>
              </w:rPr>
              <w:t>signmaking</w:t>
            </w:r>
            <w:proofErr w:type="spellEnd"/>
            <w:r w:rsidRPr="00AA5789">
              <w:rPr>
                <w:rFonts w:asciiTheme="minorHAnsi" w:hAnsiTheme="minorHAnsi"/>
              </w:rPr>
              <w:t xml:space="preserve">, sponzor, cílová skupina, image, reklama </w:t>
            </w:r>
            <w:proofErr w:type="spellStart"/>
            <w:r w:rsidRPr="00AA5789">
              <w:rPr>
                <w:rFonts w:asciiTheme="minorHAnsi" w:hAnsiTheme="minorHAnsi"/>
              </w:rPr>
              <w:t>outdoor</w:t>
            </w:r>
            <w:proofErr w:type="spellEnd"/>
            <w:r w:rsidRPr="00AA5789">
              <w:rPr>
                <w:rFonts w:asciiTheme="minorHAnsi" w:hAnsiTheme="minorHAnsi"/>
              </w:rPr>
              <w:t xml:space="preserve">, reklama </w:t>
            </w:r>
            <w:proofErr w:type="spellStart"/>
            <w:r w:rsidRPr="00AA5789">
              <w:rPr>
                <w:rFonts w:asciiTheme="minorHAnsi" w:hAnsiTheme="minorHAnsi"/>
              </w:rPr>
              <w:t>indoor</w:t>
            </w:r>
            <w:proofErr w:type="spellEnd"/>
            <w:r w:rsidRPr="00AA5789">
              <w:rPr>
                <w:rFonts w:asciiTheme="minorHAnsi" w:hAnsiTheme="minorHAnsi"/>
              </w:rPr>
              <w:t>, POP prostředky, obchodní snídaně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6C1AF1" w:rsidRDefault="0090573C" w:rsidP="0090573C">
            <w:pPr>
              <w:rPr>
                <w:rFonts w:asciiTheme="minorHAnsi" w:hAnsiTheme="minorHAnsi"/>
                <w:highlight w:val="yellow"/>
              </w:rPr>
            </w:pPr>
            <w:r w:rsidRPr="005B3EB1">
              <w:rPr>
                <w:rFonts w:asciiTheme="minorHAnsi" w:hAnsiTheme="minorHAnsi"/>
              </w:rPr>
              <w:t xml:space="preserve">Výklad, cvičení 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5B3EB1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F5748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F5748" w:rsidTr="00844706">
        <w:tc>
          <w:tcPr>
            <w:tcW w:w="3369" w:type="dxa"/>
          </w:tcPr>
          <w:p w:rsidR="001F5748" w:rsidRDefault="001F5748" w:rsidP="008447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F5748" w:rsidRPr="005A5EBD" w:rsidRDefault="001F5748" w:rsidP="008447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767360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515B6D" w:rsidRDefault="00515B6D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Default="005F0E03" w:rsidP="001028E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Zavřete oči a představte si, že se ucházíte o pracovní místo ve společnosti Vašich snů. O toto pracovní místo moc stojíte, ale získat ho je velmi těžké. Náhodou se však ocitnete ve výtahu s ředitelem této společnosti – </w:t>
      </w:r>
      <w:r w:rsidR="003B7A03">
        <w:rPr>
          <w:rFonts w:asciiTheme="minorHAnsi" w:hAnsiTheme="minorHAnsi" w:cs="Segoe UI"/>
          <w:sz w:val="22"/>
          <w:szCs w:val="20"/>
        </w:rPr>
        <w:t>odvážíte</w:t>
      </w:r>
      <w:r>
        <w:rPr>
          <w:rFonts w:asciiTheme="minorHAnsi" w:hAnsiTheme="minorHAnsi" w:cs="Segoe UI"/>
          <w:sz w:val="22"/>
          <w:szCs w:val="20"/>
        </w:rPr>
        <w:t xml:space="preserve"> se využít příležitosti a ředitele během jízdy výtahem oslovíte. Nyní oči otevřete a připravte si krátkou „</w:t>
      </w:r>
      <w:proofErr w:type="spellStart"/>
      <w:r>
        <w:rPr>
          <w:rFonts w:asciiTheme="minorHAnsi" w:hAnsiTheme="minorHAnsi" w:cs="Segoe UI"/>
          <w:sz w:val="22"/>
          <w:szCs w:val="20"/>
        </w:rPr>
        <w:t>elevator</w:t>
      </w:r>
      <w:proofErr w:type="spellEnd"/>
      <w:r>
        <w:rPr>
          <w:rFonts w:asciiTheme="minorHAnsi" w:hAnsiTheme="minorHAnsi" w:cs="Segoe U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="Segoe UI"/>
          <w:sz w:val="22"/>
          <w:szCs w:val="20"/>
        </w:rPr>
        <w:t>speech</w:t>
      </w:r>
      <w:proofErr w:type="spellEnd"/>
      <w:r>
        <w:rPr>
          <w:rFonts w:asciiTheme="minorHAnsi" w:hAnsiTheme="minorHAnsi" w:cs="Segoe UI"/>
          <w:sz w:val="22"/>
          <w:szCs w:val="20"/>
        </w:rPr>
        <w:t>“, kterou byste pronesli, kdybyste se v podobné situaci ocitli.</w:t>
      </w:r>
    </w:p>
    <w:p w:rsidR="001C3718" w:rsidRPr="001C3718" w:rsidRDefault="001C3718" w:rsidP="001028EE">
      <w:pPr>
        <w:jc w:val="both"/>
        <w:rPr>
          <w:rFonts w:asciiTheme="minorHAnsi" w:hAnsiTheme="minorHAnsi" w:cs="Segoe UI"/>
          <w:sz w:val="22"/>
          <w:szCs w:val="20"/>
        </w:rPr>
      </w:pPr>
    </w:p>
    <w:p w:rsidR="005F0E03" w:rsidRDefault="001C3718" w:rsidP="001028E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Sesedněte se se svými spolužáky do kruhu a jeden po druhém předneste svou „</w:t>
      </w:r>
      <w:proofErr w:type="spellStart"/>
      <w:r>
        <w:rPr>
          <w:rFonts w:asciiTheme="minorHAnsi" w:hAnsiTheme="minorHAnsi" w:cs="Segoe UI"/>
          <w:sz w:val="22"/>
          <w:szCs w:val="20"/>
        </w:rPr>
        <w:t>elevator</w:t>
      </w:r>
      <w:proofErr w:type="spellEnd"/>
      <w:r>
        <w:rPr>
          <w:rFonts w:asciiTheme="minorHAnsi" w:hAnsiTheme="minorHAnsi" w:cs="Segoe U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="Segoe UI"/>
          <w:sz w:val="22"/>
          <w:szCs w:val="20"/>
        </w:rPr>
        <w:t>speech</w:t>
      </w:r>
      <w:proofErr w:type="spellEnd"/>
      <w:r>
        <w:rPr>
          <w:rFonts w:asciiTheme="minorHAnsi" w:hAnsiTheme="minorHAnsi" w:cs="Segoe UI"/>
          <w:sz w:val="22"/>
          <w:szCs w:val="20"/>
        </w:rPr>
        <w:t xml:space="preserve">“. Učitel Vám bude měřit </w:t>
      </w:r>
      <w:proofErr w:type="gramStart"/>
      <w:r>
        <w:rPr>
          <w:rFonts w:asciiTheme="minorHAnsi" w:hAnsiTheme="minorHAnsi" w:cs="Segoe UI"/>
          <w:sz w:val="22"/>
          <w:szCs w:val="20"/>
        </w:rPr>
        <w:t>čas a jakmile</w:t>
      </w:r>
      <w:proofErr w:type="gramEnd"/>
      <w:r>
        <w:rPr>
          <w:rFonts w:asciiTheme="minorHAnsi" w:hAnsiTheme="minorHAnsi" w:cs="Segoe UI"/>
          <w:sz w:val="22"/>
          <w:szCs w:val="20"/>
        </w:rPr>
        <w:t xml:space="preserve"> uplyne jedna minuta, zastaví Vás. Od svých posluchačů si vyžádejte zpětnou vazbu o míře přesvědčivosti Vašeho vystoupení.</w:t>
      </w:r>
    </w:p>
    <w:p w:rsidR="001C3718" w:rsidRPr="001C3718" w:rsidRDefault="001C3718" w:rsidP="001028EE">
      <w:pPr>
        <w:jc w:val="both"/>
        <w:rPr>
          <w:rFonts w:asciiTheme="minorHAnsi" w:hAnsiTheme="minorHAnsi" w:cs="Segoe UI"/>
          <w:sz w:val="22"/>
          <w:szCs w:val="20"/>
        </w:rPr>
      </w:pPr>
    </w:p>
    <w:p w:rsidR="001C3718" w:rsidRDefault="001C3718" w:rsidP="001028E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2"/>
        </w:rPr>
      </w:pPr>
      <w:r w:rsidRPr="007A27B4">
        <w:rPr>
          <w:rFonts w:asciiTheme="minorHAnsi" w:hAnsiTheme="minorHAnsi" w:cs="Segoe UI"/>
          <w:sz w:val="22"/>
          <w:szCs w:val="22"/>
        </w:rPr>
        <w:t xml:space="preserve">S pomocí vyučujícího a případně literatury či internetu vytvořte definice následujících pojmů: </w:t>
      </w:r>
      <w:r w:rsidR="001F5748" w:rsidRPr="007A27B4">
        <w:rPr>
          <w:rFonts w:asciiTheme="minorHAnsi" w:hAnsiTheme="minorHAnsi" w:cs="Segoe UI"/>
          <w:sz w:val="22"/>
          <w:szCs w:val="22"/>
        </w:rPr>
        <w:t xml:space="preserve">propagace, </w:t>
      </w:r>
      <w:r w:rsidR="00A47B13">
        <w:rPr>
          <w:rFonts w:asciiTheme="minorHAnsi" w:hAnsiTheme="minorHAnsi" w:cs="Segoe UI"/>
          <w:sz w:val="22"/>
          <w:szCs w:val="22"/>
        </w:rPr>
        <w:t xml:space="preserve">design, reklama, public relations, marketing, marketingová komunikace, direct marketing, </w:t>
      </w:r>
      <w:proofErr w:type="spellStart"/>
      <w:r w:rsidR="00A47B13">
        <w:rPr>
          <w:rFonts w:asciiTheme="minorHAnsi" w:hAnsiTheme="minorHAnsi" w:cs="Segoe UI"/>
          <w:sz w:val="22"/>
          <w:szCs w:val="22"/>
        </w:rPr>
        <w:t>signmaking</w:t>
      </w:r>
      <w:proofErr w:type="spellEnd"/>
      <w:r w:rsidR="00A47B13">
        <w:rPr>
          <w:rFonts w:asciiTheme="minorHAnsi" w:hAnsiTheme="minorHAnsi" w:cs="Segoe UI"/>
          <w:sz w:val="22"/>
          <w:szCs w:val="22"/>
        </w:rPr>
        <w:t xml:space="preserve">, sponzor, cílová skupina, image, reklama </w:t>
      </w:r>
      <w:proofErr w:type="spellStart"/>
      <w:r w:rsidR="00A47B13">
        <w:rPr>
          <w:rFonts w:asciiTheme="minorHAnsi" w:hAnsiTheme="minorHAnsi" w:cs="Segoe UI"/>
          <w:sz w:val="22"/>
          <w:szCs w:val="22"/>
        </w:rPr>
        <w:t>outdoor</w:t>
      </w:r>
      <w:proofErr w:type="spellEnd"/>
      <w:r w:rsidR="00A47B13">
        <w:rPr>
          <w:rFonts w:asciiTheme="minorHAnsi" w:hAnsiTheme="minorHAnsi" w:cs="Segoe UI"/>
          <w:sz w:val="22"/>
          <w:szCs w:val="22"/>
        </w:rPr>
        <w:t xml:space="preserve">, reklama </w:t>
      </w:r>
      <w:proofErr w:type="spellStart"/>
      <w:r w:rsidR="00A47B13">
        <w:rPr>
          <w:rFonts w:asciiTheme="minorHAnsi" w:hAnsiTheme="minorHAnsi" w:cs="Segoe UI"/>
          <w:sz w:val="22"/>
          <w:szCs w:val="22"/>
        </w:rPr>
        <w:t>indoor</w:t>
      </w:r>
      <w:proofErr w:type="spellEnd"/>
      <w:r w:rsidR="00A47B13">
        <w:rPr>
          <w:rFonts w:asciiTheme="minorHAnsi" w:hAnsiTheme="minorHAnsi" w:cs="Segoe UI"/>
          <w:sz w:val="22"/>
          <w:szCs w:val="22"/>
        </w:rPr>
        <w:t>, POP prostředky.</w:t>
      </w:r>
    </w:p>
    <w:p w:rsidR="001028EE" w:rsidRPr="001028EE" w:rsidRDefault="001028EE" w:rsidP="001028EE">
      <w:pPr>
        <w:jc w:val="both"/>
        <w:rPr>
          <w:rFonts w:asciiTheme="minorHAnsi" w:hAnsiTheme="minorHAnsi" w:cs="Segoe UI"/>
          <w:sz w:val="22"/>
          <w:szCs w:val="22"/>
        </w:rPr>
      </w:pPr>
    </w:p>
    <w:p w:rsidR="001028EE" w:rsidRDefault="001028EE" w:rsidP="001028E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V pracovním listu č. 1 jste se seznámili s franšízou Business </w:t>
      </w:r>
      <w:proofErr w:type="spellStart"/>
      <w:r>
        <w:rPr>
          <w:rFonts w:asciiTheme="minorHAnsi" w:hAnsiTheme="minorHAnsi" w:cs="Segoe UI"/>
          <w:sz w:val="22"/>
          <w:szCs w:val="22"/>
        </w:rPr>
        <w:t>for</w:t>
      </w:r>
      <w:proofErr w:type="spellEnd"/>
      <w:r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Segoe UI"/>
          <w:sz w:val="22"/>
          <w:szCs w:val="22"/>
        </w:rPr>
        <w:t>Breakfast</w:t>
      </w:r>
      <w:proofErr w:type="spellEnd"/>
      <w:r>
        <w:rPr>
          <w:rFonts w:asciiTheme="minorHAnsi" w:hAnsiTheme="minorHAnsi" w:cs="Segoe UI"/>
          <w:sz w:val="22"/>
          <w:szCs w:val="22"/>
        </w:rPr>
        <w:t xml:space="preserve"> ČR, s. r. o. Tato společnost pořádá tzv. obchodní snídaně, jejichž cílem je pomáhat firmám naplňovat jejich marketingové cíle, </w:t>
      </w:r>
      <w:r w:rsidR="003B7A03">
        <w:rPr>
          <w:rFonts w:asciiTheme="minorHAnsi" w:hAnsiTheme="minorHAnsi" w:cs="Segoe UI"/>
          <w:sz w:val="22"/>
          <w:szCs w:val="22"/>
        </w:rPr>
        <w:br/>
      </w:r>
      <w:r>
        <w:rPr>
          <w:rFonts w:asciiTheme="minorHAnsi" w:hAnsiTheme="minorHAnsi" w:cs="Segoe UI"/>
          <w:sz w:val="22"/>
          <w:szCs w:val="22"/>
        </w:rPr>
        <w:t>a to prostřednictvím strukturovaného průběhu obchodní snídaně. Podívejte se na video „Ukázka obchodní snídaně“, které naleznete na www.studentskasnidane.cz. Po jeho zhlédnutí písemně charakterizujte jednotlivé části obchodní snídaně:</w:t>
      </w:r>
    </w:p>
    <w:p w:rsidR="001028EE" w:rsidRPr="001028EE" w:rsidRDefault="001028EE" w:rsidP="001028EE">
      <w:pPr>
        <w:pStyle w:val="Odstavecseseznamem"/>
        <w:rPr>
          <w:rFonts w:asciiTheme="minorHAnsi" w:hAnsiTheme="minorHAnsi" w:cs="Segoe UI"/>
          <w:sz w:val="22"/>
          <w:szCs w:val="22"/>
        </w:rPr>
      </w:pPr>
    </w:p>
    <w:p w:rsidR="001F1555" w:rsidRDefault="001028EE" w:rsidP="001F1555">
      <w:pPr>
        <w:pStyle w:val="Odstavecseseznamem"/>
        <w:numPr>
          <w:ilvl w:val="0"/>
          <w:numId w:val="11"/>
        </w:numPr>
        <w:spacing w:line="360" w:lineRule="auto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Zaseknutí v 60 sekundách:</w:t>
      </w:r>
      <w:r w:rsidR="001F1555">
        <w:rPr>
          <w:rFonts w:asciiTheme="minorHAnsi" w:hAnsiTheme="minorHAnsi" w:cs="Segoe UI"/>
          <w:i/>
          <w:sz w:val="22"/>
          <w:szCs w:val="22"/>
        </w:rPr>
        <w:t xml:space="preserve"> </w:t>
      </w:r>
    </w:p>
    <w:p w:rsidR="001028EE" w:rsidRDefault="001F1555" w:rsidP="001F1555">
      <w:pPr>
        <w:pStyle w:val="Odstavecseseznamem"/>
        <w:spacing w:line="360" w:lineRule="auto"/>
        <w:ind w:left="360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555" w:rsidRDefault="001F1555" w:rsidP="001F1555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Zaměřeno na byznys:</w:t>
      </w:r>
    </w:p>
    <w:p w:rsidR="001F1555" w:rsidRDefault="001F1555" w:rsidP="001F1555">
      <w:pPr>
        <w:pStyle w:val="Odstavecseseznamem"/>
        <w:spacing w:line="360" w:lineRule="auto"/>
        <w:ind w:left="360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555" w:rsidRDefault="001F1555" w:rsidP="001F1555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Segoe UI"/>
          <w:i/>
          <w:sz w:val="22"/>
          <w:szCs w:val="22"/>
        </w:rPr>
      </w:pPr>
      <w:proofErr w:type="spellStart"/>
      <w:r>
        <w:rPr>
          <w:rFonts w:asciiTheme="minorHAnsi" w:hAnsiTheme="minorHAnsi" w:cs="Segoe UI"/>
          <w:i/>
          <w:sz w:val="22"/>
          <w:szCs w:val="22"/>
        </w:rPr>
        <w:t>Networkingová</w:t>
      </w:r>
      <w:proofErr w:type="spellEnd"/>
      <w:r>
        <w:rPr>
          <w:rFonts w:asciiTheme="minorHAnsi" w:hAnsiTheme="minorHAnsi" w:cs="Segoe UI"/>
          <w:i/>
          <w:sz w:val="22"/>
          <w:szCs w:val="22"/>
        </w:rPr>
        <w:t xml:space="preserve"> přestávka:</w:t>
      </w:r>
    </w:p>
    <w:p w:rsidR="001F1555" w:rsidRDefault="001F1555" w:rsidP="001F1555">
      <w:pPr>
        <w:pStyle w:val="Odstavecseseznamem"/>
        <w:spacing w:line="360" w:lineRule="auto"/>
        <w:ind w:left="360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555" w:rsidRDefault="001F1555" w:rsidP="001F1555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Vzdělávací bod:</w:t>
      </w:r>
    </w:p>
    <w:p w:rsidR="001F1555" w:rsidRDefault="001F1555" w:rsidP="001F1555">
      <w:pPr>
        <w:pStyle w:val="Odstavecseseznamem"/>
        <w:spacing w:line="360" w:lineRule="auto"/>
        <w:ind w:left="360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555" w:rsidRDefault="001F1555" w:rsidP="001F1555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>Referenční ústřižky:</w:t>
      </w:r>
    </w:p>
    <w:p w:rsidR="001F1555" w:rsidRDefault="001F1555" w:rsidP="001F1555">
      <w:pPr>
        <w:pStyle w:val="Odstavecseseznamem"/>
        <w:spacing w:line="360" w:lineRule="auto"/>
        <w:ind w:left="360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AF1" w:rsidRDefault="006C1AF1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515B6D" w:rsidRDefault="00515B6D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F43D0C" w:rsidRDefault="005B3EB1" w:rsidP="001028E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Segoe UI"/>
          <w:sz w:val="22"/>
          <w:szCs w:val="20"/>
        </w:rPr>
      </w:pPr>
      <w:r w:rsidRPr="001028EE">
        <w:rPr>
          <w:rFonts w:asciiTheme="minorHAnsi" w:hAnsiTheme="minorHAnsi" w:cs="Segoe UI"/>
          <w:sz w:val="22"/>
          <w:szCs w:val="20"/>
        </w:rPr>
        <w:t>Před zařazením tohoto pracovního listu do výuky</w:t>
      </w:r>
      <w:r w:rsidR="00F43D0C">
        <w:rPr>
          <w:rFonts w:asciiTheme="minorHAnsi" w:hAnsiTheme="minorHAnsi" w:cs="Segoe UI"/>
          <w:sz w:val="22"/>
          <w:szCs w:val="20"/>
        </w:rPr>
        <w:t xml:space="preserve"> s</w:t>
      </w:r>
      <w:r w:rsidR="00F43D0C" w:rsidRPr="001028EE">
        <w:rPr>
          <w:rFonts w:asciiTheme="minorHAnsi" w:hAnsiTheme="minorHAnsi" w:cs="Segoe UI"/>
          <w:sz w:val="22"/>
          <w:szCs w:val="20"/>
        </w:rPr>
        <w:t>i prostudujte</w:t>
      </w:r>
      <w:r w:rsidR="00F43D0C">
        <w:rPr>
          <w:rFonts w:asciiTheme="minorHAnsi" w:hAnsiTheme="minorHAnsi" w:cs="Segoe UI"/>
          <w:sz w:val="22"/>
          <w:szCs w:val="20"/>
        </w:rPr>
        <w:t>:</w:t>
      </w:r>
    </w:p>
    <w:p w:rsidR="00F43D0C" w:rsidRPr="00F43D0C" w:rsidRDefault="00F43D0C" w:rsidP="00E002CF">
      <w:pPr>
        <w:pStyle w:val="Odstavecseseznamem"/>
        <w:numPr>
          <w:ilvl w:val="1"/>
          <w:numId w:val="13"/>
        </w:numPr>
        <w:jc w:val="both"/>
        <w:rPr>
          <w:rFonts w:asciiTheme="minorHAnsi" w:hAnsiTheme="minorHAnsi" w:cs="Segoe UI"/>
          <w:sz w:val="22"/>
          <w:szCs w:val="20"/>
        </w:rPr>
      </w:pPr>
      <w:r w:rsidRPr="00F43D0C">
        <w:rPr>
          <w:rFonts w:asciiTheme="minorHAnsi" w:hAnsiTheme="minorHAnsi" w:cs="Segoe UI"/>
          <w:sz w:val="22"/>
          <w:szCs w:val="20"/>
        </w:rPr>
        <w:t>pracovní list č. 1 ze séri</w:t>
      </w:r>
      <w:r w:rsidR="00E002CF">
        <w:rPr>
          <w:rFonts w:asciiTheme="minorHAnsi" w:hAnsiTheme="minorHAnsi" w:cs="Segoe UI"/>
          <w:sz w:val="22"/>
          <w:szCs w:val="20"/>
        </w:rPr>
        <w:t>e „Studentská obchodní snídaně“,</w:t>
      </w:r>
    </w:p>
    <w:p w:rsidR="005B3EB1" w:rsidRPr="001028EE" w:rsidRDefault="005B3EB1" w:rsidP="00E002CF">
      <w:pPr>
        <w:pStyle w:val="Odstavecseseznamem"/>
        <w:numPr>
          <w:ilvl w:val="1"/>
          <w:numId w:val="13"/>
        </w:numPr>
        <w:jc w:val="both"/>
        <w:rPr>
          <w:rFonts w:asciiTheme="minorHAnsi" w:hAnsiTheme="minorHAnsi" w:cs="Segoe UI"/>
          <w:sz w:val="22"/>
          <w:szCs w:val="20"/>
        </w:rPr>
      </w:pPr>
      <w:r w:rsidRPr="001028EE">
        <w:rPr>
          <w:rFonts w:asciiTheme="minorHAnsi" w:hAnsiTheme="minorHAnsi" w:cs="Segoe UI"/>
          <w:sz w:val="22"/>
          <w:szCs w:val="20"/>
        </w:rPr>
        <w:t>stránky www.obchodnisnidane.cz.</w:t>
      </w:r>
    </w:p>
    <w:p w:rsidR="005B3EB1" w:rsidRDefault="005B3EB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1F5748" w:rsidRPr="00E002CF" w:rsidRDefault="001F5748" w:rsidP="00E002CF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Segoe UI"/>
          <w:sz w:val="22"/>
          <w:szCs w:val="20"/>
        </w:rPr>
      </w:pPr>
      <w:r w:rsidRPr="00E002CF">
        <w:rPr>
          <w:rFonts w:asciiTheme="minorHAnsi" w:hAnsiTheme="minorHAnsi" w:cs="Segoe UI"/>
          <w:sz w:val="22"/>
          <w:szCs w:val="20"/>
        </w:rPr>
        <w:t>Správné odpovědi k pojmům, uvedeným v úkolu č. 3</w:t>
      </w:r>
      <w:r w:rsidR="00A6663F" w:rsidRPr="00E002CF">
        <w:rPr>
          <w:rFonts w:asciiTheme="minorHAnsi" w:hAnsiTheme="minorHAnsi" w:cs="Segoe UI"/>
          <w:sz w:val="22"/>
          <w:szCs w:val="20"/>
        </w:rPr>
        <w:t>:</w:t>
      </w:r>
    </w:p>
    <w:p w:rsidR="001F5748" w:rsidRPr="00A47B13" w:rsidRDefault="001F5748" w:rsidP="001F5748">
      <w:pPr>
        <w:rPr>
          <w:rFonts w:ascii="Calibri" w:eastAsia="Arial Unicode MS" w:hAnsi="Calibri"/>
          <w:sz w:val="22"/>
        </w:rPr>
      </w:pPr>
    </w:p>
    <w:p w:rsidR="00A47B13" w:rsidRDefault="00A47B13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>Propagace</w:t>
      </w:r>
      <w:r>
        <w:rPr>
          <w:rFonts w:ascii="Calibri" w:eastAsia="Arial Unicode MS" w:hAnsi="Calibri"/>
          <w:sz w:val="22"/>
        </w:rPr>
        <w:t xml:space="preserve"> – zpravidla cílené oslovení kupujícího, ke kterému je směřováno určité sdělení.</w:t>
      </w:r>
    </w:p>
    <w:p w:rsidR="00A47B13" w:rsidRPr="00A47B13" w:rsidRDefault="00A47B13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Design </w:t>
      </w:r>
      <w:r>
        <w:rPr>
          <w:rFonts w:ascii="Calibri" w:eastAsia="Arial Unicode MS" w:hAnsi="Calibri"/>
          <w:sz w:val="22"/>
        </w:rPr>
        <w:t xml:space="preserve">– vnější úprava, estetický vzhled </w:t>
      </w:r>
      <w:r w:rsidR="00006464">
        <w:rPr>
          <w:rFonts w:ascii="Calibri" w:eastAsia="Arial Unicode MS" w:hAnsi="Calibri"/>
          <w:sz w:val="22"/>
        </w:rPr>
        <w:t>výrobků</w:t>
      </w:r>
      <w:r>
        <w:rPr>
          <w:rFonts w:ascii="Calibri" w:eastAsia="Arial Unicode MS" w:hAnsi="Calibri"/>
          <w:sz w:val="22"/>
        </w:rPr>
        <w:t>.</w:t>
      </w:r>
    </w:p>
    <w:p w:rsidR="00A47B13" w:rsidRDefault="00A47B13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>R</w:t>
      </w:r>
      <w:r w:rsidRPr="00A47B13">
        <w:rPr>
          <w:rFonts w:ascii="Calibri" w:eastAsia="Arial Unicode MS" w:hAnsi="Calibri"/>
          <w:i/>
          <w:sz w:val="22"/>
        </w:rPr>
        <w:t>eklama</w:t>
      </w:r>
      <w:r>
        <w:rPr>
          <w:rFonts w:ascii="Calibri" w:eastAsia="Arial Unicode MS" w:hAnsi="Calibri"/>
          <w:sz w:val="22"/>
        </w:rPr>
        <w:t xml:space="preserve"> – placená neosobní forma propagace, která informuje a přesvědčuje o výhodách </w:t>
      </w:r>
      <w:r w:rsidR="003B7A03">
        <w:rPr>
          <w:rFonts w:ascii="Calibri" w:eastAsia="Arial Unicode MS" w:hAnsi="Calibri"/>
          <w:sz w:val="22"/>
        </w:rPr>
        <w:br/>
      </w:r>
      <w:r>
        <w:rPr>
          <w:rFonts w:ascii="Calibri" w:eastAsia="Arial Unicode MS" w:hAnsi="Calibri"/>
          <w:sz w:val="22"/>
        </w:rPr>
        <w:t xml:space="preserve">a kvalitách prodávaného výrobku nebo služby. Slovo reklama vzniklo před staletími z latinského </w:t>
      </w:r>
      <w:proofErr w:type="spellStart"/>
      <w:r w:rsidRPr="00A47B13">
        <w:rPr>
          <w:rFonts w:ascii="Calibri" w:eastAsia="Arial Unicode MS" w:hAnsi="Calibri"/>
          <w:i/>
          <w:sz w:val="22"/>
        </w:rPr>
        <w:t>reklamare</w:t>
      </w:r>
      <w:proofErr w:type="spellEnd"/>
      <w:r>
        <w:rPr>
          <w:rFonts w:ascii="Calibri" w:eastAsia="Arial Unicode MS" w:hAnsi="Calibri"/>
          <w:i/>
          <w:sz w:val="22"/>
        </w:rPr>
        <w:t xml:space="preserve"> </w:t>
      </w:r>
      <w:r>
        <w:rPr>
          <w:rFonts w:ascii="Calibri" w:eastAsia="Arial Unicode MS" w:hAnsi="Calibri"/>
          <w:sz w:val="22"/>
        </w:rPr>
        <w:t xml:space="preserve"> – „opakovaně vyvolávat“.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Public relations </w:t>
      </w:r>
      <w:r>
        <w:rPr>
          <w:rFonts w:ascii="Calibri" w:eastAsia="Arial Unicode MS" w:hAnsi="Calibri"/>
          <w:sz w:val="22"/>
        </w:rPr>
        <w:t>– činnost, jejímž cílem je vytvoření příznivého klimatu a získání sympatií veřejnosti, a to i té její části, která není přístupná reklamě. Ovlivňuje kupní jednání.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Marketing </w:t>
      </w:r>
      <w:r>
        <w:rPr>
          <w:rFonts w:ascii="Calibri" w:eastAsia="Arial Unicode MS" w:hAnsi="Calibri"/>
          <w:sz w:val="22"/>
        </w:rPr>
        <w:t>– obchodní a výrobní koncepce firmy.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Marketingová komunikace </w:t>
      </w:r>
      <w:r>
        <w:rPr>
          <w:rFonts w:ascii="Calibri" w:eastAsia="Arial Unicode MS" w:hAnsi="Calibri"/>
          <w:sz w:val="22"/>
        </w:rPr>
        <w:t xml:space="preserve">– jejím účelem je seznámit cílovou skupinu s výrobkem či službou </w:t>
      </w:r>
      <w:r w:rsidR="003B7A03">
        <w:rPr>
          <w:rFonts w:ascii="Calibri" w:eastAsia="Arial Unicode MS" w:hAnsi="Calibri"/>
          <w:sz w:val="22"/>
        </w:rPr>
        <w:br/>
      </w:r>
      <w:r>
        <w:rPr>
          <w:rFonts w:ascii="Calibri" w:eastAsia="Arial Unicode MS" w:hAnsi="Calibri"/>
          <w:sz w:val="22"/>
        </w:rPr>
        <w:t>a přimět je k nákupu. Fáze komunikačního procesu: kdo říká – co – jakými prostředky – komu – s jakým účinkem.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Direct marketing </w:t>
      </w:r>
      <w:r>
        <w:rPr>
          <w:rFonts w:ascii="Calibri" w:eastAsia="Arial Unicode MS" w:hAnsi="Calibri"/>
          <w:sz w:val="22"/>
        </w:rPr>
        <w:t>– přímé, osobní působení na potenciálního zákazníka (např. nečekaným oslovením na ulici) nebo na již získaného zákazníka (za účelem budování trvalého vztahu se zákazníkem).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proofErr w:type="spellStart"/>
      <w:r>
        <w:rPr>
          <w:rFonts w:ascii="Calibri" w:eastAsia="Arial Unicode MS" w:hAnsi="Calibri"/>
          <w:i/>
          <w:sz w:val="22"/>
        </w:rPr>
        <w:t>Signmaking</w:t>
      </w:r>
      <w:proofErr w:type="spellEnd"/>
      <w:r>
        <w:rPr>
          <w:rFonts w:ascii="Calibri" w:eastAsia="Arial Unicode MS" w:hAnsi="Calibri"/>
          <w:i/>
          <w:sz w:val="22"/>
        </w:rPr>
        <w:t xml:space="preserve"> </w:t>
      </w:r>
      <w:r>
        <w:rPr>
          <w:rFonts w:ascii="Calibri" w:eastAsia="Arial Unicode MS" w:hAnsi="Calibri"/>
          <w:sz w:val="22"/>
        </w:rPr>
        <w:t>– obecné označení pro tvorbu reklam.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Sponzor </w:t>
      </w:r>
      <w:r>
        <w:rPr>
          <w:rFonts w:ascii="Calibri" w:eastAsia="Arial Unicode MS" w:hAnsi="Calibri"/>
          <w:sz w:val="22"/>
        </w:rPr>
        <w:t>– poskytne finanční částku nebo věcné prostředky (např. své výrobky či služby) výměnou za protislužbu ve formě vlastní propagace (např. umístění loga na dresech sportovního klubu).</w:t>
      </w:r>
    </w:p>
    <w:p w:rsidR="00006464" w:rsidRDefault="00006464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Cílová skupina </w:t>
      </w:r>
      <w:r>
        <w:rPr>
          <w:rFonts w:ascii="Calibri" w:eastAsia="Arial Unicode MS" w:hAnsi="Calibri"/>
          <w:sz w:val="22"/>
        </w:rPr>
        <w:t>– jasně definovaný okruh lidí, kterým je určeno propagační sdělení</w:t>
      </w:r>
      <w:r w:rsidR="00A6663F">
        <w:rPr>
          <w:rFonts w:ascii="Calibri" w:eastAsia="Arial Unicode MS" w:hAnsi="Calibri"/>
          <w:sz w:val="22"/>
        </w:rPr>
        <w:t>. Cílovou skupinu může charakterizovat společný věk, zájmy, profese, demografické znaky apod. Její vymezení umožňuje správně vybrat propagační prostředek, kterým zákazníka oslovíme, kdy a kde.</w:t>
      </w:r>
    </w:p>
    <w:p w:rsidR="00A6663F" w:rsidRDefault="00A6663F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Image </w:t>
      </w:r>
      <w:r>
        <w:rPr>
          <w:rFonts w:ascii="Calibri" w:eastAsia="Arial Unicode MS" w:hAnsi="Calibri"/>
          <w:sz w:val="22"/>
        </w:rPr>
        <w:t>– dojem, jaký firma vyvolává v očích společnosti.</w:t>
      </w:r>
    </w:p>
    <w:p w:rsidR="00A6663F" w:rsidRDefault="00A6663F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Reklama </w:t>
      </w:r>
      <w:proofErr w:type="spellStart"/>
      <w:r>
        <w:rPr>
          <w:rFonts w:ascii="Calibri" w:eastAsia="Arial Unicode MS" w:hAnsi="Calibri"/>
          <w:i/>
          <w:sz w:val="22"/>
        </w:rPr>
        <w:t>outdoor</w:t>
      </w:r>
      <w:proofErr w:type="spellEnd"/>
      <w:r>
        <w:rPr>
          <w:rFonts w:ascii="Calibri" w:eastAsia="Arial Unicode MS" w:hAnsi="Calibri"/>
          <w:i/>
          <w:sz w:val="22"/>
        </w:rPr>
        <w:t xml:space="preserve"> – </w:t>
      </w:r>
      <w:r w:rsidRPr="00A6663F">
        <w:rPr>
          <w:rFonts w:ascii="Calibri" w:eastAsia="Arial Unicode MS" w:hAnsi="Calibri"/>
          <w:sz w:val="22"/>
        </w:rPr>
        <w:t>plakáty, transparenty,</w:t>
      </w:r>
      <w:r>
        <w:rPr>
          <w:rFonts w:ascii="Calibri" w:eastAsia="Arial Unicode MS" w:hAnsi="Calibri"/>
          <w:sz w:val="22"/>
        </w:rPr>
        <w:t xml:space="preserve"> bannery, billboardy, </w:t>
      </w:r>
      <w:proofErr w:type="spellStart"/>
      <w:r>
        <w:rPr>
          <w:rFonts w:ascii="Calibri" w:eastAsia="Arial Unicode MS" w:hAnsi="Calibri"/>
          <w:sz w:val="22"/>
        </w:rPr>
        <w:t>nafukovadla</w:t>
      </w:r>
      <w:proofErr w:type="spellEnd"/>
      <w:r>
        <w:rPr>
          <w:rFonts w:ascii="Calibri" w:eastAsia="Arial Unicode MS" w:hAnsi="Calibri"/>
          <w:sz w:val="22"/>
        </w:rPr>
        <w:t>, reklamní sloupy, polepy automobilů apod.</w:t>
      </w:r>
    </w:p>
    <w:p w:rsidR="00A6663F" w:rsidRDefault="00A6663F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 xml:space="preserve">Reklama </w:t>
      </w:r>
      <w:proofErr w:type="spellStart"/>
      <w:r>
        <w:rPr>
          <w:rFonts w:ascii="Calibri" w:eastAsia="Arial Unicode MS" w:hAnsi="Calibri"/>
          <w:i/>
          <w:sz w:val="22"/>
        </w:rPr>
        <w:t>indoor</w:t>
      </w:r>
      <w:proofErr w:type="spellEnd"/>
      <w:r>
        <w:rPr>
          <w:rFonts w:ascii="Calibri" w:eastAsia="Arial Unicode MS" w:hAnsi="Calibri"/>
          <w:i/>
          <w:sz w:val="22"/>
        </w:rPr>
        <w:t xml:space="preserve"> –</w:t>
      </w:r>
      <w:r>
        <w:rPr>
          <w:rFonts w:ascii="Calibri" w:eastAsia="Arial Unicode MS" w:hAnsi="Calibri"/>
          <w:sz w:val="22"/>
        </w:rPr>
        <w:t xml:space="preserve"> v prodejnách a obchodních centrech (panely, poutače, stojany apod.).</w:t>
      </w:r>
    </w:p>
    <w:p w:rsidR="00A6663F" w:rsidRDefault="00A6663F" w:rsidP="00006464">
      <w:pPr>
        <w:pStyle w:val="Odstavecseseznamem"/>
        <w:numPr>
          <w:ilvl w:val="0"/>
          <w:numId w:val="9"/>
        </w:numPr>
        <w:jc w:val="both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i/>
          <w:sz w:val="22"/>
        </w:rPr>
        <w:t>POP prostředky –</w:t>
      </w:r>
      <w:r>
        <w:rPr>
          <w:rFonts w:ascii="Calibri" w:eastAsia="Arial Unicode MS" w:hAnsi="Calibri"/>
          <w:sz w:val="22"/>
        </w:rPr>
        <w:t xml:space="preserve"> propagační prostředky v místě prodeje: podlahové (stojany, poutače, modely výrobků, podlahová grafika), regálová (</w:t>
      </w:r>
      <w:proofErr w:type="spellStart"/>
      <w:r>
        <w:rPr>
          <w:rFonts w:ascii="Calibri" w:eastAsia="Arial Unicode MS" w:hAnsi="Calibri"/>
          <w:sz w:val="22"/>
        </w:rPr>
        <w:t>infolišty</w:t>
      </w:r>
      <w:proofErr w:type="spellEnd"/>
      <w:r>
        <w:rPr>
          <w:rFonts w:ascii="Calibri" w:eastAsia="Arial Unicode MS" w:hAnsi="Calibri"/>
          <w:sz w:val="22"/>
        </w:rPr>
        <w:t>, držáky vzorků), k pokladnám (displeje, držáky k letákům, poutače, nástěnné světelné reklamy, vlajky), ostatní (</w:t>
      </w:r>
      <w:proofErr w:type="spellStart"/>
      <w:r>
        <w:rPr>
          <w:rFonts w:ascii="Calibri" w:eastAsia="Arial Unicode MS" w:hAnsi="Calibri"/>
          <w:sz w:val="22"/>
        </w:rPr>
        <w:t>promostánky</w:t>
      </w:r>
      <w:proofErr w:type="spellEnd"/>
      <w:r>
        <w:rPr>
          <w:rFonts w:ascii="Calibri" w:eastAsia="Arial Unicode MS" w:hAnsi="Calibri"/>
          <w:sz w:val="22"/>
        </w:rPr>
        <w:t xml:space="preserve">, slunečníky, </w:t>
      </w:r>
      <w:proofErr w:type="spellStart"/>
      <w:r>
        <w:rPr>
          <w:rFonts w:ascii="Calibri" w:eastAsia="Arial Unicode MS" w:hAnsi="Calibri"/>
          <w:sz w:val="22"/>
        </w:rPr>
        <w:t>nafukovadla</w:t>
      </w:r>
      <w:proofErr w:type="spellEnd"/>
      <w:r>
        <w:rPr>
          <w:rFonts w:ascii="Calibri" w:eastAsia="Arial Unicode MS" w:hAnsi="Calibri"/>
          <w:sz w:val="22"/>
        </w:rPr>
        <w:t xml:space="preserve">, okenní grafika). Zkratka POP znamená: </w:t>
      </w:r>
      <w:r w:rsidRPr="00A6663F">
        <w:rPr>
          <w:rFonts w:ascii="Calibri" w:eastAsia="Arial Unicode MS" w:hAnsi="Calibri"/>
          <w:i/>
          <w:sz w:val="22"/>
        </w:rPr>
        <w:t>Point-</w:t>
      </w:r>
      <w:proofErr w:type="spellStart"/>
      <w:r w:rsidRPr="00A6663F">
        <w:rPr>
          <w:rFonts w:ascii="Calibri" w:eastAsia="Arial Unicode MS" w:hAnsi="Calibri"/>
          <w:i/>
          <w:sz w:val="22"/>
        </w:rPr>
        <w:t>of</w:t>
      </w:r>
      <w:proofErr w:type="spellEnd"/>
      <w:r w:rsidRPr="00A6663F">
        <w:rPr>
          <w:rFonts w:ascii="Calibri" w:eastAsia="Arial Unicode MS" w:hAnsi="Calibri"/>
          <w:i/>
          <w:sz w:val="22"/>
        </w:rPr>
        <w:t>-</w:t>
      </w:r>
      <w:proofErr w:type="spellStart"/>
      <w:r w:rsidRPr="00A6663F">
        <w:rPr>
          <w:rFonts w:ascii="Calibri" w:eastAsia="Arial Unicode MS" w:hAnsi="Calibri"/>
          <w:i/>
          <w:sz w:val="22"/>
        </w:rPr>
        <w:t>Pruchase</w:t>
      </w:r>
      <w:proofErr w:type="spellEnd"/>
      <w:r>
        <w:rPr>
          <w:rFonts w:ascii="Calibri" w:eastAsia="Arial Unicode MS" w:hAnsi="Calibri"/>
          <w:sz w:val="22"/>
        </w:rPr>
        <w:t xml:space="preserve"> – „místo prodeje).</w:t>
      </w:r>
    </w:p>
    <w:p w:rsidR="005175C9" w:rsidRDefault="005175C9" w:rsidP="005175C9">
      <w:pPr>
        <w:jc w:val="both"/>
        <w:rPr>
          <w:rFonts w:ascii="Calibri" w:eastAsia="Arial Unicode MS" w:hAnsi="Calibri"/>
          <w:sz w:val="22"/>
        </w:rPr>
      </w:pPr>
    </w:p>
    <w:p w:rsidR="005175C9" w:rsidRPr="005175C9" w:rsidRDefault="005175C9" w:rsidP="005175C9">
      <w:pPr>
        <w:jc w:val="right"/>
        <w:rPr>
          <w:rFonts w:ascii="Calibri" w:eastAsia="Arial Unicode MS" w:hAnsi="Calibri"/>
          <w:i/>
          <w:sz w:val="22"/>
        </w:rPr>
      </w:pPr>
      <w:r w:rsidRPr="005175C9">
        <w:rPr>
          <w:rFonts w:asciiTheme="minorHAnsi" w:hAnsiTheme="minorHAnsi" w:cs="Segoe UI"/>
          <w:i/>
          <w:sz w:val="22"/>
          <w:szCs w:val="20"/>
        </w:rPr>
        <w:t>(</w:t>
      </w:r>
      <w:r>
        <w:rPr>
          <w:rFonts w:asciiTheme="minorHAnsi" w:hAnsiTheme="minorHAnsi" w:cs="Segoe UI"/>
          <w:i/>
          <w:sz w:val="22"/>
          <w:szCs w:val="20"/>
        </w:rPr>
        <w:t>S</w:t>
      </w:r>
      <w:r w:rsidRPr="005175C9">
        <w:rPr>
          <w:rFonts w:asciiTheme="minorHAnsi" w:hAnsiTheme="minorHAnsi" w:cs="Segoe UI"/>
          <w:i/>
          <w:sz w:val="22"/>
          <w:szCs w:val="20"/>
        </w:rPr>
        <w:t xml:space="preserve">estaveno s pomocí učebnice F. Kaplová – J. Turek: </w:t>
      </w:r>
      <w:r>
        <w:rPr>
          <w:rFonts w:asciiTheme="minorHAnsi" w:hAnsiTheme="minorHAnsi" w:cs="Segoe UI"/>
          <w:i/>
          <w:sz w:val="22"/>
          <w:szCs w:val="20"/>
        </w:rPr>
        <w:t>„</w:t>
      </w:r>
      <w:r w:rsidRPr="005175C9">
        <w:rPr>
          <w:rFonts w:asciiTheme="minorHAnsi" w:hAnsiTheme="minorHAnsi" w:cs="Segoe UI"/>
          <w:i/>
          <w:sz w:val="22"/>
          <w:szCs w:val="20"/>
        </w:rPr>
        <w:t>Propagace</w:t>
      </w:r>
      <w:r>
        <w:rPr>
          <w:rFonts w:asciiTheme="minorHAnsi" w:hAnsiTheme="minorHAnsi" w:cs="Segoe UI"/>
          <w:i/>
          <w:sz w:val="22"/>
          <w:szCs w:val="20"/>
        </w:rPr>
        <w:t>“</w:t>
      </w:r>
      <w:r w:rsidRPr="005175C9">
        <w:rPr>
          <w:rFonts w:asciiTheme="minorHAnsi" w:hAnsiTheme="minorHAnsi" w:cs="Segoe UI"/>
          <w:i/>
          <w:sz w:val="22"/>
          <w:szCs w:val="20"/>
        </w:rPr>
        <w:t>, Olomouc 2005, s. 9nn</w:t>
      </w:r>
      <w:r>
        <w:rPr>
          <w:rFonts w:asciiTheme="minorHAnsi" w:hAnsiTheme="minorHAnsi" w:cs="Segoe UI"/>
          <w:i/>
          <w:sz w:val="22"/>
          <w:szCs w:val="20"/>
        </w:rPr>
        <w:t>.</w:t>
      </w:r>
      <w:r w:rsidRPr="005175C9">
        <w:rPr>
          <w:rFonts w:asciiTheme="minorHAnsi" w:hAnsiTheme="minorHAnsi" w:cs="Segoe UI"/>
          <w:i/>
          <w:sz w:val="22"/>
          <w:szCs w:val="20"/>
        </w:rPr>
        <w:t>)</w:t>
      </w:r>
    </w:p>
    <w:sectPr w:rsidR="005175C9" w:rsidRPr="005175C9" w:rsidSect="001F1555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9E" w:rsidRDefault="0049229E" w:rsidP="0042215D">
      <w:r>
        <w:separator/>
      </w:r>
    </w:p>
  </w:endnote>
  <w:endnote w:type="continuationSeparator" w:id="0">
    <w:p w:rsidR="0049229E" w:rsidRDefault="0049229E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F1555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F1555" w:rsidRPr="000022F1" w:rsidRDefault="001F1555" w:rsidP="001F1555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515B6D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515B6D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9546E5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9E" w:rsidRDefault="0049229E" w:rsidP="0042215D">
      <w:r>
        <w:separator/>
      </w:r>
    </w:p>
  </w:footnote>
  <w:footnote w:type="continuationSeparator" w:id="0">
    <w:p w:rsidR="0049229E" w:rsidRDefault="0049229E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1C7A"/>
    <w:multiLevelType w:val="hybridMultilevel"/>
    <w:tmpl w:val="F5F8C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E6EFF"/>
    <w:multiLevelType w:val="hybridMultilevel"/>
    <w:tmpl w:val="7A26A0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FE2242"/>
    <w:multiLevelType w:val="hybridMultilevel"/>
    <w:tmpl w:val="DB8AE8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1FE3FE0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51357"/>
    <w:multiLevelType w:val="hybridMultilevel"/>
    <w:tmpl w:val="4E14D8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F178B7"/>
    <w:multiLevelType w:val="hybridMultilevel"/>
    <w:tmpl w:val="9B7C7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C2CC6"/>
    <w:multiLevelType w:val="hybridMultilevel"/>
    <w:tmpl w:val="C01EAFA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C020C"/>
    <w:multiLevelType w:val="hybridMultilevel"/>
    <w:tmpl w:val="ACE0BFF0"/>
    <w:lvl w:ilvl="0" w:tplc="C7E08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06464"/>
    <w:rsid w:val="00074D9B"/>
    <w:rsid w:val="000B32ED"/>
    <w:rsid w:val="000E1B34"/>
    <w:rsid w:val="001028EE"/>
    <w:rsid w:val="00132999"/>
    <w:rsid w:val="001A0857"/>
    <w:rsid w:val="001C3718"/>
    <w:rsid w:val="001F1555"/>
    <w:rsid w:val="001F5748"/>
    <w:rsid w:val="00207ED7"/>
    <w:rsid w:val="00216E5C"/>
    <w:rsid w:val="00247E48"/>
    <w:rsid w:val="00317C7C"/>
    <w:rsid w:val="00331A95"/>
    <w:rsid w:val="00354E37"/>
    <w:rsid w:val="003B7A03"/>
    <w:rsid w:val="0042215D"/>
    <w:rsid w:val="00463ADC"/>
    <w:rsid w:val="0049229E"/>
    <w:rsid w:val="004B4DF1"/>
    <w:rsid w:val="004D1A31"/>
    <w:rsid w:val="00503EC9"/>
    <w:rsid w:val="00515B6D"/>
    <w:rsid w:val="005175C9"/>
    <w:rsid w:val="005327DF"/>
    <w:rsid w:val="005332FF"/>
    <w:rsid w:val="005A5EBD"/>
    <w:rsid w:val="005B3EB1"/>
    <w:rsid w:val="005B50FA"/>
    <w:rsid w:val="005F0E03"/>
    <w:rsid w:val="00634970"/>
    <w:rsid w:val="00664592"/>
    <w:rsid w:val="006A6F38"/>
    <w:rsid w:val="006C1AF1"/>
    <w:rsid w:val="00703FAF"/>
    <w:rsid w:val="00767360"/>
    <w:rsid w:val="007711F2"/>
    <w:rsid w:val="00782A4F"/>
    <w:rsid w:val="007A27B4"/>
    <w:rsid w:val="007E758D"/>
    <w:rsid w:val="00833E6F"/>
    <w:rsid w:val="0083447F"/>
    <w:rsid w:val="00852731"/>
    <w:rsid w:val="00874AFC"/>
    <w:rsid w:val="008E7259"/>
    <w:rsid w:val="0090573C"/>
    <w:rsid w:val="00942790"/>
    <w:rsid w:val="009546E5"/>
    <w:rsid w:val="00A47B13"/>
    <w:rsid w:val="00A6663F"/>
    <w:rsid w:val="00AA5789"/>
    <w:rsid w:val="00B15734"/>
    <w:rsid w:val="00B56F31"/>
    <w:rsid w:val="00BA72F3"/>
    <w:rsid w:val="00C3032F"/>
    <w:rsid w:val="00C82395"/>
    <w:rsid w:val="00CC4A07"/>
    <w:rsid w:val="00D03C5E"/>
    <w:rsid w:val="00D1223B"/>
    <w:rsid w:val="00D20F2C"/>
    <w:rsid w:val="00D31C9C"/>
    <w:rsid w:val="00D77FA0"/>
    <w:rsid w:val="00DC7D8E"/>
    <w:rsid w:val="00E002CF"/>
    <w:rsid w:val="00E37973"/>
    <w:rsid w:val="00E64665"/>
    <w:rsid w:val="00F43D0C"/>
    <w:rsid w:val="00FB5850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13</cp:revision>
  <dcterms:created xsi:type="dcterms:W3CDTF">2013-05-11T08:28:00Z</dcterms:created>
  <dcterms:modified xsi:type="dcterms:W3CDTF">2013-05-29T11:56:00Z</dcterms:modified>
</cp:coreProperties>
</file>